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r>
        <w:t xml:space="preserve"/>
      </w:r>
    </w:p>
    <w:p>
      <w:pPr>
        <w:spacing w:after="80"/>
        <w:jc w:val="center"/>
      </w:pPr>
      <w:r>
        <w:rPr>
          <w:rFonts w:ascii="Arial" w:cs="Arial" w:eastAsia="Arial" w:hAnsi="Arial"/>
          <w:b/>
          <w:bCs/>
          <w:color w:val="1E8BC3"/>
          <w:sz w:val="64"/>
          <w:szCs w:val="64"/>
        </w:rPr>
        <w:t xml:space="preserve">AXIS LUMEN</w:t>
      </w:r>
    </w:p>
    <w:p>
      <w:pPr>
        <w:spacing w:after="240"/>
        <w:jc w:val="center"/>
      </w:pPr>
      <w:r>
        <w:rPr>
          <w:rFonts w:ascii="Arial" w:cs="Arial" w:eastAsia="Arial" w:hAnsi="Arial"/>
          <w:b w:val="false"/>
          <w:bCs w:val="false"/>
          <w:i/>
          <w:iCs/>
          <w:color w:val="3DBDCC"/>
          <w:sz w:val="44"/>
          <w:szCs w:val="44"/>
        </w:rPr>
        <w:t xml:space="preserve">Eau Vivante Plasma</w:t>
      </w:r>
    </w:p>
    <w:p>
      <w:pPr>
        <w:pBdr>
          <w:bottom w:val="single" w:color="1E8BC3" w:sz="6" w:space="1"/>
        </w:pBdr>
        <w:spacing w:after="300"/>
        <w:jc w:val="center"/>
      </w:pPr>
      <w:r>
        <w:t xml:space="preserve"/>
      </w:r>
    </w:p>
    <w:p>
      <w:r>
        <w:t xml:space="preserve"/>
      </w:r>
    </w:p>
    <w:p>
      <w:pPr>
        <w:spacing w:after="120"/>
        <w:jc w:val="center"/>
      </w:pPr>
      <w:r>
        <w:rPr>
          <w:rFonts w:ascii="Arial" w:cs="Arial" w:eastAsia="Arial" w:hAnsi="Arial"/>
          <w:b/>
          <w:bCs/>
          <w:color w:val="0D2438"/>
          <w:sz w:val="36"/>
          <w:szCs w:val="36"/>
        </w:rPr>
        <w:t xml:space="preserve">RAPPORT BIOWELL GDV</w:t>
      </w:r>
    </w:p>
    <w:p>
      <w:pPr>
        <w:spacing w:after="360"/>
        <w:jc w:val="center"/>
      </w:pPr>
      <w:r>
        <w:rPr>
          <w:rFonts w:ascii="Arial" w:cs="Arial" w:eastAsia="Arial" w:hAnsi="Arial"/>
          <w:i/>
          <w:iCs/>
          <w:color w:val="5A8FA8"/>
          <w:sz w:val="26"/>
          <w:szCs w:val="26"/>
        </w:rPr>
        <w:t xml:space="preserve">Analyse comparative avant / après protocole</w:t>
      </w:r>
    </w:p>
    <w:p>
      <w:r>
        <w:t xml:space="preserve"/>
      </w:r>
    </w:p>
    <w:p>
      <w:r>
        <w:t xml:space="preserve"/>
      </w:r>
    </w:p>
    <w:p>
      <w:pPr>
        <w:spacing w:after="100"/>
        <w:jc w:val="center"/>
      </w:pPr>
      <w:r>
        <w:rPr>
          <w:rFonts w:ascii="Arial" w:cs="Arial" w:eastAsia="Arial" w:hAnsi="Arial"/>
          <w:color w:val="9BBFD4"/>
          <w:sz w:val="20"/>
          <w:szCs w:val="20"/>
        </w:rPr>
        <w:t xml:space="preserve">Sujet</w:t>
      </w:r>
    </w:p>
    <w:p>
      <w:pPr>
        <w:spacing w:after="80"/>
        <w:jc w:val="center"/>
      </w:pPr>
      <w:r>
        <w:rPr>
          <w:rFonts w:ascii="Arial" w:cs="Arial" w:eastAsia="Arial" w:hAnsi="Arial"/>
          <w:b/>
          <w:bCs/>
          <w:color w:val="0D2438"/>
          <w:sz w:val="28"/>
          <w:szCs w:val="28"/>
        </w:rPr>
        <w:t xml:space="preserve">Michael Chauvet</w:t>
      </w:r>
    </w:p>
    <w:p>
      <w:pPr>
        <w:spacing w:after="300"/>
        <w:jc w:val="center"/>
      </w:pPr>
      <w:r>
        <w:rPr>
          <w:rFonts w:ascii="Arial" w:cs="Arial" w:eastAsia="Arial" w:hAnsi="Arial"/>
          <w:color w:val="5A8FA8"/>
          <w:sz w:val="22"/>
          <w:szCs w:val="22"/>
        </w:rPr>
        <w:t xml:space="preserve">Né le 22 juillet 1980</w:t>
      </w:r>
    </w:p>
    <w:p>
      <w:r>
        <w:t xml:space="preserve"/>
      </w:r>
    </w:p>
    <w:p>
      <w:pPr>
        <w:spacing w:after="80"/>
        <w:jc w:val="center"/>
      </w:pPr>
      <w:r>
        <w:rPr>
          <w:rFonts w:ascii="Arial" w:cs="Arial" w:eastAsia="Arial" w:hAnsi="Arial"/>
          <w:color w:val="9BBFD4"/>
          <w:sz w:val="20"/>
          <w:szCs w:val="20"/>
        </w:rPr>
        <w:t xml:space="preserve">Période d'observation</w:t>
      </w:r>
    </w:p>
    <w:p>
      <w:pPr>
        <w:spacing w:after="300"/>
        <w:jc w:val="center"/>
      </w:pPr>
      <w:r>
        <w:rPr>
          <w:rFonts w:ascii="Arial" w:cs="Arial" w:eastAsia="Arial" w:hAnsi="Arial"/>
          <w:b/>
          <w:bCs/>
          <w:color w:val="0D2438"/>
          <w:sz w:val="26"/>
          <w:szCs w:val="26"/>
        </w:rPr>
        <w:t xml:space="preserve">Octobre 2025 – Juin 2026</w:t>
      </w:r>
    </w:p>
    <w:p>
      <w:r>
        <w:t xml:space="preserve"/>
      </w:r>
    </w:p>
    <w:p>
      <w:r>
        <w:t xml:space="preserve"/>
      </w:r>
    </w:p>
    <w:p>
      <w:pPr>
        <w:spacing w:after="80"/>
        <w:jc w:val="center"/>
      </w:pPr>
      <w:r>
        <w:rPr>
          <w:rFonts w:ascii="Arial" w:cs="Arial" w:eastAsia="Arial" w:hAnsi="Arial"/>
          <w:color w:val="9BBFD4"/>
          <w:sz w:val="18"/>
          <w:szCs w:val="18"/>
        </w:rPr>
        <w:t xml:space="preserve">Instrument de mesure</w:t>
      </w:r>
    </w:p>
    <w:p>
      <w:pPr>
        <w:spacing w:after="80"/>
        <w:jc w:val="center"/>
      </w:pPr>
      <w:r>
        <w:rPr>
          <w:rFonts w:ascii="Arial" w:cs="Arial" w:eastAsia="Arial" w:hAnsi="Arial"/>
          <w:b/>
          <w:bCs/>
          <w:color w:val="0D2438"/>
          <w:sz w:val="22"/>
          <w:szCs w:val="22"/>
        </w:rPr>
        <w:t xml:space="preserve">Caméra GDV-Kirlian Biowell</w:t>
      </w:r>
    </w:p>
    <w:p>
      <w:pPr>
        <w:spacing w:after="300"/>
        <w:jc w:val="center"/>
      </w:pPr>
      <w:r>
        <w:rPr>
          <w:rFonts w:ascii="Arial" w:cs="Arial" w:eastAsia="Arial" w:hAnsi="Arial"/>
          <w:i/>
          <w:iCs/>
          <w:color w:val="5A8FA8"/>
          <w:sz w:val="20"/>
          <w:szCs w:val="20"/>
        </w:rPr>
        <w:t xml:space="preserve">Dr Konstantin Korotkov · Université de Saint-Pétersbourg</w:t>
      </w:r>
    </w:p>
    <w:p>
      <w:r>
        <w:t xml:space="preserve"/>
      </w:r>
    </w:p>
    <w:p>
      <w:pPr>
        <w:spacing w:after="80"/>
        <w:jc w:val="center"/>
      </w:pPr>
      <w:r>
        <w:rPr>
          <w:rFonts w:ascii="Arial" w:cs="Arial" w:eastAsia="Arial" w:hAnsi="Arial"/>
          <w:color w:val="5A8FA8"/>
          <w:sz w:val="20"/>
          <w:szCs w:val="20"/>
        </w:rPr>
        <w:t xml:space="preserve">Date d'émission : 11 juin 2026</w:t>
      </w:r>
    </w:p>
    <w:p>
      <w:pPr>
        <w:spacing w:after="80"/>
        <w:jc w:val="center"/>
      </w:pPr>
      <w:r>
        <w:rPr>
          <w:rFonts w:ascii="Arial" w:cs="Arial" w:eastAsia="Arial" w:hAnsi="Arial"/>
          <w:color w:val="1E8BC3"/>
          <w:sz w:val="20"/>
          <w:szCs w:val="20"/>
          <w:u w:val="single"/>
        </w:rPr>
        <w:t xml:space="preserve">axis-lumen.fr</w:t>
      </w:r>
    </w:p>
    <w:p>
      <w:r>
        <w:br w:type="page"/>
      </w:r>
    </w:p>
    <w:p>
      <w:pPr>
        <w:pStyle w:val="Heading1"/>
      </w:pPr>
      <w:r>
        <w:rPr>
          <w:rFonts w:ascii="Arial" w:cs="Arial" w:eastAsia="Arial" w:hAnsi="Arial"/>
          <w:color w:val="1E8BC3"/>
        </w:rPr>
        <w:t xml:space="preserve">Sommaire</w:t>
      </w:r>
    </w:p>
    <w:sdt>
      <w:sdtPr>
        <w:alias w:val="Sommaire"/>
      </w:sdtPr>
      <w:sdtContent>
        <w:p>
          <w:r>
            <w:fldChar w:fldCharType="begin" w:dirty="true"/>
            <w:instrText xml:space="preserve">TOC \h \o "1-3"</w:instrText>
            <w:fldChar w:fldCharType="separate"/>
          </w:r>
        </w:p>
        <w:p>
          <w:r>
            <w:fldChar w:fldCharType="end"/>
          </w:r>
        </w:p>
      </w:sdtContent>
    </w:sdt>
    <w:p>
      <w:r>
        <w:br w:type="page"/>
      </w:r>
    </w:p>
    <w:p>
      <w:pPr>
        <w:pStyle w:val="Heading1"/>
        <w:spacing w:after="120" w:before="280"/>
      </w:pPr>
      <w:r>
        <w:rPr>
          <w:rFonts w:ascii="Arial" w:cs="Arial" w:eastAsia="Arial" w:hAnsi="Arial"/>
          <w:color w:val="0D2438"/>
        </w:rPr>
        <w:t xml:space="preserve">1. Le Protocole Eau Vivante Plasma</w:t>
      </w:r>
    </w:p>
    <w:p>
      <w:pPr>
        <w:spacing w:after="160"/>
        <w:jc w:val="left"/>
      </w:pPr>
      <w:r>
        <w:rPr>
          <w:rFonts w:ascii="Arial" w:cs="Arial" w:eastAsia="Arial" w:hAnsi="Arial"/>
          <w:b w:val="false"/>
          <w:bCs w:val="false"/>
          <w:i w:val="false"/>
          <w:iCs w:val="false"/>
          <w:color w:val="0D2438"/>
          <w:sz w:val="22"/>
          <w:szCs w:val="22"/>
        </w:rPr>
        <w:t xml:space="preserve">L'Eau Vivante Plasma est le fruit d'une synthèse rare entre quatre traditions de recherche sur l'eau structurée, augmentée par la formule φ²⁰ d'Axis Lumen. Chaque étape du protocole laisse une empreinte mesurable dans le champ électronique de l'eau, révélée par la caméra GDV-Kirlian Biowell.</w:t>
      </w:r>
    </w:p>
    <w:p>
      <w:r>
        <w:t xml:space="preserve"/>
      </w:r>
    </w:p>
    <w:p>
      <w:pPr>
        <w:pStyle w:val="Heading2"/>
        <w:spacing w:after="120" w:before="280"/>
      </w:pPr>
      <w:r>
        <w:rPr>
          <w:rFonts w:ascii="Arial" w:cs="Arial" w:eastAsia="Arial" w:hAnsi="Arial"/>
          <w:color w:val="0D2438"/>
        </w:rPr>
        <w:t xml:space="preserve">1.1  Les 6 étapes du protocole</w:t>
      </w:r>
    </w:p>
    <w:p>
      <w:pPr>
        <w:pStyle w:val="ListParagraph"/>
        <w:numPr>
          <w:ilvl w:val="0"/>
          <w:numId w:val="2"/>
        </w:numPr>
        <w:spacing w:after="100"/>
      </w:pPr>
      <w:r>
        <w:rPr>
          <w:rFonts w:ascii="Arial" w:cs="Arial" w:eastAsia="Arial" w:hAnsi="Arial"/>
          <w:sz w:val="22"/>
          <w:szCs w:val="22"/>
        </w:rPr>
        <w:t xml:space="preserve">Distillation  —  L'eau source est distillée pour effacer toute mémoire chimique. La résistivité atteint son maximum : l'eau est vierge, réceptive.</w:t>
      </w:r>
    </w:p>
    <w:p>
      <w:pPr>
        <w:pStyle w:val="ListParagraph"/>
        <w:numPr>
          <w:ilvl w:val="0"/>
          <w:numId w:val="2"/>
        </w:numPr>
        <w:spacing w:after="100"/>
      </w:pPr>
      <w:r>
        <w:rPr>
          <w:rFonts w:ascii="Arial" w:cs="Arial" w:eastAsia="Arial" w:hAnsi="Arial"/>
          <w:sz w:val="22"/>
          <w:szCs w:val="22"/>
        </w:rPr>
        <w:t xml:space="preserve">Magnétisation nocturne  —  La bouteille est placée entre deux aimants néodyme N52 (pôles en axe vertical) pendant une nuit complète minimum (8 à 12 heures). La structure cristalline commence à se réorganiser.</w:t>
      </w:r>
    </w:p>
    <w:p>
      <w:pPr>
        <w:pStyle w:val="ListParagraph"/>
        <w:numPr>
          <w:ilvl w:val="0"/>
          <w:numId w:val="2"/>
        </w:numPr>
        <w:spacing w:after="100"/>
      </w:pPr>
      <w:r>
        <w:rPr>
          <w:rFonts w:ascii="Arial" w:cs="Arial" w:eastAsia="Arial" w:hAnsi="Arial"/>
          <w:sz w:val="22"/>
          <w:szCs w:val="22"/>
        </w:rPr>
        <w:t xml:space="preserve">Vortex Schauberger  —  30 minutes de rotation en spirale sens horaire. Le mouvement implosif réactive la cohérence moléculaire. Viktor Schauberger : « L'eau vivante tourne ».</w:t>
      </w:r>
    </w:p>
    <w:p>
      <w:pPr>
        <w:pStyle w:val="ListParagraph"/>
        <w:numPr>
          <w:ilvl w:val="0"/>
          <w:numId w:val="2"/>
        </w:numPr>
        <w:spacing w:after="100"/>
      </w:pPr>
      <w:r>
        <w:rPr>
          <w:rFonts w:ascii="Arial" w:cs="Arial" w:eastAsia="Arial" w:hAnsi="Arial"/>
          <w:sz w:val="22"/>
          <w:szCs w:val="22"/>
        </w:rPr>
        <w:t xml:space="preserve">Machine Violet-MaGrav  —  20 à 40 minutes dans le champ rayonné de la machine (condensateurs cire d'abeille + 3 étages MaGrav plasma, tige argent pur). Induction non galvanique — l'eau reçoit le champ sans contact électrique direct.</w:t>
      </w:r>
    </w:p>
    <w:p>
      <w:pPr>
        <w:pStyle w:val="ListParagraph"/>
        <w:numPr>
          <w:ilvl w:val="0"/>
          <w:numId w:val="2"/>
        </w:numPr>
        <w:spacing w:after="100"/>
      </w:pPr>
      <w:r>
        <w:rPr>
          <w:rFonts w:ascii="Arial" w:cs="Arial" w:eastAsia="Arial" w:hAnsi="Arial"/>
          <w:sz w:val="22"/>
          <w:szCs w:val="22"/>
        </w:rPr>
        <w:t xml:space="preserve">Informations fréquentielles Aplicum  —  La bouteille est posée sur l'antenne scalaire Aplicum et reçoit la liste de fréquences issues du biofeedback Axis Lumen (axis-lumen.fr). La formule φ²⁰ : f = c² / (1000 × Nₐ × h × φ²⁰) × M accorde chaque fréquence au poids moléculaire cible.</w:t>
      </w:r>
    </w:p>
    <w:p>
      <w:pPr>
        <w:pStyle w:val="ListParagraph"/>
        <w:numPr>
          <w:ilvl w:val="0"/>
          <w:numId w:val="2"/>
        </w:numPr>
        <w:spacing w:after="200"/>
      </w:pPr>
      <w:r>
        <w:rPr>
          <w:rFonts w:ascii="Arial" w:cs="Arial" w:eastAsia="Arial" w:hAnsi="Arial"/>
          <w:sz w:val="22"/>
          <w:szCs w:val="22"/>
        </w:rPr>
        <w:t xml:space="preserve">Mesure finale Biowell GDV  —  Capture GDV-Kirlian avant consommation. Comparaison avec le scan de référence. Consommation dans les 4 heures suivant la dernière étape.</w:t>
      </w:r>
    </w:p>
    <w:p>
      <w:r>
        <w:t xml:space="preserve"/>
      </w:r>
    </w:p>
    <w:p>
      <w:pPr>
        <w:pBdr>
          <w:left w:val="single" w:color="1E8BC3" w:sz="12" w:space="4"/>
        </w:pBdr>
        <w:shd w:fill="EAF5FB" w:val="clear"/>
        <w:spacing w:after="200"/>
        <w:ind w:left="360"/>
      </w:pPr>
      <w:r>
        <w:rPr>
          <w:rFonts w:ascii="Arial" w:cs="Arial" w:eastAsia="Arial" w:hAnsi="Arial"/>
          <w:i/>
          <w:iCs/>
          <w:color w:val="2E5F7A"/>
          <w:sz w:val="21"/>
          <w:szCs w:val="21"/>
        </w:rPr>
        <w:t xml:space="preserve">La bouteille photographiée dans ce rapport est posée sur l'antenne scalaire Aplicum — un dispositif de diffusion fréquentielle développé en synergie avec le biofeedback Axis Lumen. La géométrie de l'antenne crée un champ scalaire cohérent dans lequel l'eau reçoit les fréquences calculées par la formule φ²⁰.</w:t>
      </w:r>
    </w:p>
    <w:p>
      <w:r>
        <w:br w:type="page"/>
      </w:r>
    </w:p>
    <w:p>
      <w:pPr>
        <w:pStyle w:val="Heading1"/>
        <w:spacing w:after="120" w:before="280"/>
      </w:pPr>
      <w:r>
        <w:rPr>
          <w:rFonts w:ascii="Arial" w:cs="Arial" w:eastAsia="Arial" w:hAnsi="Arial"/>
          <w:color w:val="0D2438"/>
        </w:rPr>
        <w:t xml:space="preserve">2. Méthodologie</w:t>
      </w:r>
    </w:p>
    <w:p>
      <w:pPr>
        <w:spacing w:after="160"/>
        <w:jc w:val="left"/>
      </w:pPr>
      <w:r>
        <w:rPr>
          <w:rFonts w:ascii="Arial" w:cs="Arial" w:eastAsia="Arial" w:hAnsi="Arial"/>
          <w:b w:val="false"/>
          <w:bCs w:val="false"/>
          <w:i w:val="false"/>
          <w:iCs w:val="false"/>
          <w:color w:val="0D2438"/>
          <w:sz w:val="22"/>
          <w:szCs w:val="22"/>
        </w:rPr>
        <w:t xml:space="preserve">Toutes les mesures ont été réalisées avec la caméra Biowell GDV (Gas Discharge Visualization), développée par le Dr Konstantin Korotkov (Université de Saint-Pétersbourg). Cette technologie est basée sur l'effet Kirlian amplifié — elle mesure l'émission photonique et électronique du corps humain sous impulsion électrique contrôlée.</w:t>
      </w:r>
    </w:p>
    <w:p>
      <w:r>
        <w:t xml:space="preserve"/>
      </w:r>
    </w:p>
    <w:p>
      <w:pPr>
        <w:pStyle w:val="Heading2"/>
        <w:spacing w:after="120" w:before="280"/>
      </w:pPr>
      <w:r>
        <w:rPr>
          <w:rFonts w:ascii="Arial" w:cs="Arial" w:eastAsia="Arial" w:hAnsi="Arial"/>
          <w:color w:val="0D2438"/>
        </w:rPr>
        <w:t xml:space="preserve">2.1  Protocole de mesure</w:t>
      </w:r>
    </w:p>
    <w:p>
      <w:pPr>
        <w:pStyle w:val="ListParagraph"/>
        <w:numPr>
          <w:ilvl w:val="0"/>
          <w:numId w:val="3"/>
        </w:numPr>
        <w:spacing w:after="80"/>
      </w:pPr>
      <w:r>
        <w:rPr>
          <w:rFonts w:ascii="Arial" w:cs="Arial" w:eastAsia="Arial" w:hAnsi="Arial"/>
          <w:sz w:val="22"/>
          <w:szCs w:val="22"/>
        </w:rPr>
        <w:t xml:space="preserve">11 sessions de mesure au total sur 8 mois (octobre 2025 – juin 2026)</w:t>
      </w:r>
    </w:p>
    <w:p>
      <w:pPr>
        <w:pStyle w:val="ListParagraph"/>
        <w:numPr>
          <w:ilvl w:val="0"/>
          <w:numId w:val="3"/>
        </w:numPr>
        <w:spacing w:after="80"/>
      </w:pPr>
      <w:r>
        <w:rPr>
          <w:rFonts w:ascii="Arial" w:cs="Arial" w:eastAsia="Arial" w:hAnsi="Arial"/>
          <w:sz w:val="22"/>
          <w:szCs w:val="22"/>
        </w:rPr>
        <w:t xml:space="preserve">4 sessions AVANT  consommation (groupe de référence) : oct. 2025, nov. 2025, mai 2026 (×2)</w:t>
      </w:r>
    </w:p>
    <w:p>
      <w:pPr>
        <w:pStyle w:val="ListParagraph"/>
        <w:numPr>
          <w:ilvl w:val="0"/>
          <w:numId w:val="3"/>
        </w:numPr>
        <w:spacing w:after="80"/>
      </w:pPr>
      <w:r>
        <w:rPr>
          <w:rFonts w:ascii="Arial" w:cs="Arial" w:eastAsia="Arial" w:hAnsi="Arial"/>
          <w:sz w:val="22"/>
          <w:szCs w:val="22"/>
        </w:rPr>
        <w:t xml:space="preserve">7 sessions APRÈS consommation sur 5 jours consécutifs : 6 au 10 juin 2026</w:t>
      </w:r>
    </w:p>
    <w:p>
      <w:pPr>
        <w:pStyle w:val="ListParagraph"/>
        <w:numPr>
          <w:ilvl w:val="0"/>
          <w:numId w:val="3"/>
        </w:numPr>
        <w:spacing w:after="200"/>
      </w:pPr>
      <w:r>
        <w:rPr>
          <w:rFonts w:ascii="Arial" w:cs="Arial" w:eastAsia="Arial" w:hAnsi="Arial"/>
          <w:sz w:val="22"/>
          <w:szCs w:val="22"/>
        </w:rPr>
        <w:t xml:space="preserve">Sujet : identique pour toutes les sessions — Michael Chauvet, 22/07/1980</w:t>
      </w:r>
    </w:p>
    <w:p>
      <w:pPr>
        <w:pStyle w:val="Heading2"/>
        <w:spacing w:after="120" w:before="280"/>
      </w:pPr>
      <w:r>
        <w:rPr>
          <w:rFonts w:ascii="Arial" w:cs="Arial" w:eastAsia="Arial" w:hAnsi="Arial"/>
          <w:color w:val="0D2438"/>
        </w:rPr>
        <w:t xml:space="preserve">2.2  Paramètres mesurés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Paramètre</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left"/>
            </w:pPr>
            <w:r>
              <w:rPr>
                <w:rFonts w:ascii="Arial" w:cs="Arial" w:eastAsia="Arial" w:hAnsi="Arial"/>
                <w:b/>
                <w:bCs/>
                <w:color w:val="FFFFFF"/>
                <w:sz w:val="18"/>
                <w:szCs w:val="18"/>
              </w:rPr>
              <w:t xml:space="preserve">Description</w:t>
            </w:r>
          </w:p>
        </w:tc>
      </w:tr>
      <w:tr>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Stress</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Indice de stress mesurable (échelle 0-10). Diminuer = amélioration directe.</w:t>
            </w:r>
          </w:p>
        </w:tc>
      </w:tr>
      <w:tr>
        <w:tc>
          <w:tcPr>
            <w:tcW w:type="auto" w:w="0"/>
            <w:gridSpan w:val="1"/>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CE — Cohérence énergétique</w:t>
            </w:r>
          </w:p>
        </w:tc>
        <w:tc>
          <w:tcPr>
            <w:tcW w:type="auto" w:w="0"/>
            <w:gridSpan w:val="1"/>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Rapport signal/bruit du champ bioélectrique. Augmenter = meilleure organisation biologique.</w:t>
            </w:r>
          </w:p>
        </w:tc>
      </w:tr>
      <w:tr>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CF — Champ de force</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Amplitude globale du champ énergétique détecté. Augmenter = vitalité accrue.</w:t>
            </w:r>
          </w:p>
        </w:tc>
      </w:tr>
      <w:tr>
        <w:tc>
          <w:tcPr>
            <w:tcW w:type="auto" w:w="0"/>
            <w:gridSpan w:val="1"/>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Alignement chakras (%)</w:t>
            </w:r>
          </w:p>
        </w:tc>
        <w:tc>
          <w:tcPr>
            <w:tcW w:type="auto" w:w="0"/>
            <w:gridSpan w:val="1"/>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Cohérence inter-chakras (0–100%). Plus élevé = meilleure intégration des systèmes énergétiques.</w:t>
            </w:r>
          </w:p>
        </w:tc>
      </w:tr>
      <w:tr>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7 Chakras (énergie)</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Niveau d'énergie de chaque centre : Muladhara, Svadhisthana, Manipura, Anahata, Vishuddha, Ajna, Sahasrara.</w:t>
            </w:r>
          </w:p>
        </w:tc>
      </w:tr>
      <w:tr>
        <w:tc>
          <w:tcPr>
            <w:tcW w:type="auto" w:w="0"/>
            <w:gridSpan w:val="1"/>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Mode de vie (6 indicateurs)</w:t>
            </w:r>
          </w:p>
        </w:tc>
        <w:tc>
          <w:tcPr>
            <w:tcW w:type="auto" w:w="0"/>
            <w:gridSpan w:val="1"/>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Score Biowell en % pour : activité physique, nutrition, environnement, psychologie, régime du jour, activité hormonale.</w:t>
            </w:r>
          </w:p>
        </w:tc>
      </w:tr>
    </w:tbl>
    <w:p>
      <w:r>
        <w:br w:type="page"/>
      </w:r>
    </w:p>
    <w:p>
      <w:pPr>
        <w:pStyle w:val="Heading1"/>
        <w:spacing w:after="120" w:before="280"/>
      </w:pPr>
      <w:r>
        <w:rPr>
          <w:rFonts w:ascii="Arial" w:cs="Arial" w:eastAsia="Arial" w:hAnsi="Arial"/>
          <w:color w:val="0D2438"/>
        </w:rPr>
        <w:t xml:space="preserve">3. Données complètes — Toutes les sessions</w:t>
      </w:r>
    </w:p>
    <w:p>
      <w:pPr>
        <w:spacing w:after="160"/>
        <w:jc w:val="left"/>
      </w:pPr>
      <w:r>
        <w:rPr>
          <w:rFonts w:ascii="Arial" w:cs="Arial" w:eastAsia="Arial" w:hAnsi="Arial"/>
          <w:b w:val="false"/>
          <w:bCs w:val="false"/>
          <w:i w:val="false"/>
          <w:iCs w:val="false"/>
          <w:color w:val="0D2438"/>
          <w:sz w:val="22"/>
          <w:szCs w:val="22"/>
        </w:rPr>
        <w:t xml:space="preserve">Le tableau ci-dessous présente l'ensemble des 11 sessions. Les sessions AVANT apparaissent en bleu clair, les sessions APRÈS en vert clair. Les lignes ★ correspondent aux pics remarquables.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500"/>
        <w:gridCol w:w="1100"/>
        <w:gridCol w:w="1100"/>
        <w:gridCol w:w="1100"/>
        <w:gridCol w:w="1260"/>
      </w:tblGrid>
      <w:tr>
        <w:trPr>
          <w:tblHeader/>
        </w:trPr>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Date</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Heure</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Phase</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Stress</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CE</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CF</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Align. %</w:t>
            </w:r>
          </w:p>
        </w:tc>
      </w:tr>
      <w:tr>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28/10/2025</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09:50</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AVANT — S1</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3.87</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1.93</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2.40</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86.42 %</w:t>
            </w:r>
          </w:p>
        </w:tc>
      </w:tr>
      <w:tr>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29/11/2025</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13:47</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AVANT — S2</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3.80</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1.95</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2.42</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87.86 %</w:t>
            </w:r>
          </w:p>
        </w:tc>
      </w:tr>
      <w:tr>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02/05/2026</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11:23</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AVANT — S3</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3.13</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2.00</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2.50</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86.13 %</w:t>
            </w:r>
          </w:p>
        </w:tc>
      </w:tr>
      <w:tr>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23/05/2026</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22:19</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AVANT — S4</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3.03</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2.12</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2.47</w:t>
            </w:r>
          </w:p>
        </w:tc>
        <w:tc>
          <w:tcPr>
            <w:tcW w:type="auto" w:w="0"/>
            <w:gridSpan w:val="1"/>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83.06 %</w:t>
            </w:r>
          </w:p>
        </w:tc>
      </w:tr>
      <w:tr>
        <w:tc>
          <w:tcPr>
            <w:tcW w:type="auto" w:w="0"/>
            <w:gridSpan w:val="1"/>
            <w:tcBorders>
              <w:top w:val="single" w:color="CCCCCC" w:sz="1"/>
              <w:left w:val="single" w:color="CCCCCC" w:sz="1"/>
              <w:bottom w:val="single" w:color="CCCCCC" w:sz="1"/>
              <w:right w:val="single" w:color="CCCCCC" w:sz="1"/>
            </w:tcBorders>
            <w:shd w:fill="A8D4E8"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MOYENNE AVANT</w:t>
            </w:r>
          </w:p>
        </w:tc>
        <w:tc>
          <w:tcPr>
            <w:tcW w:type="auto" w:w="0"/>
            <w:gridSpan w:val="1"/>
            <w:tcBorders>
              <w:top w:val="single" w:color="CCCCCC" w:sz="1"/>
              <w:left w:val="single" w:color="CCCCCC" w:sz="1"/>
              <w:bottom w:val="single" w:color="CCCCCC" w:sz="1"/>
              <w:right w:val="single" w:color="CCCCCC" w:sz="1"/>
            </w:tcBorders>
            <w:shd w:fill="A8D4E8" w:val="clear"/>
            <w:tcMar>
              <w:top w:type="dxa" w:w="80"/>
              <w:left w:type="dxa" w:w="140"/>
              <w:bottom w:type="dxa" w:w="80"/>
              <w:right w:type="dxa" w:w="140"/>
            </w:tcMar>
            <w:vAlign w:val="center"/>
          </w:tcPr>
          <w:p>
            <w:pPr>
              <w:jc w:val="left"/>
            </w:pPr>
            <w:r>
              <w:rPr>
                <w:rFonts w:ascii="Arial" w:cs="Arial" w:eastAsia="Arial" w:hAnsi="Arial"/>
                <w:b w:val="false"/>
                <w:bCs w:val="false"/>
                <w:color w:val="0D2438"/>
                <w:sz w:val="20"/>
                <w:szCs w:val="20"/>
              </w:rPr>
              <w:t xml:space="preserve"/>
            </w:r>
          </w:p>
        </w:tc>
        <w:tc>
          <w:tcPr>
            <w:tcW w:type="auto" w:w="0"/>
            <w:gridSpan w:val="1"/>
            <w:tcBorders>
              <w:top w:val="single" w:color="CCCCCC" w:sz="1"/>
              <w:left w:val="single" w:color="CCCCCC" w:sz="1"/>
              <w:bottom w:val="single" w:color="CCCCCC" w:sz="1"/>
              <w:right w:val="single" w:color="CCCCCC" w:sz="1"/>
            </w:tcBorders>
            <w:shd w:fill="A8D4E8"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4 sessions</w:t>
            </w:r>
          </w:p>
        </w:tc>
        <w:tc>
          <w:tcPr>
            <w:tcW w:type="auto" w:w="0"/>
            <w:gridSpan w:val="1"/>
            <w:tcBorders>
              <w:top w:val="single" w:color="CCCCCC" w:sz="1"/>
              <w:left w:val="single" w:color="CCCCCC" w:sz="1"/>
              <w:bottom w:val="single" w:color="CCCCCC" w:sz="1"/>
              <w:right w:val="single" w:color="CCCCCC" w:sz="1"/>
            </w:tcBorders>
            <w:shd w:fill="A8D4E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3.46</w:t>
            </w:r>
          </w:p>
        </w:tc>
        <w:tc>
          <w:tcPr>
            <w:tcW w:type="auto" w:w="0"/>
            <w:gridSpan w:val="1"/>
            <w:tcBorders>
              <w:top w:val="single" w:color="CCCCCC" w:sz="1"/>
              <w:left w:val="single" w:color="CCCCCC" w:sz="1"/>
              <w:bottom w:val="single" w:color="CCCCCC" w:sz="1"/>
              <w:right w:val="single" w:color="CCCCCC" w:sz="1"/>
            </w:tcBorders>
            <w:shd w:fill="A8D4E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2.00</w:t>
            </w:r>
          </w:p>
        </w:tc>
        <w:tc>
          <w:tcPr>
            <w:tcW w:type="auto" w:w="0"/>
            <w:gridSpan w:val="1"/>
            <w:tcBorders>
              <w:top w:val="single" w:color="CCCCCC" w:sz="1"/>
              <w:left w:val="single" w:color="CCCCCC" w:sz="1"/>
              <w:bottom w:val="single" w:color="CCCCCC" w:sz="1"/>
              <w:right w:val="single" w:color="CCCCCC" w:sz="1"/>
            </w:tcBorders>
            <w:shd w:fill="A8D4E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2.45</w:t>
            </w:r>
          </w:p>
        </w:tc>
        <w:tc>
          <w:tcPr>
            <w:tcW w:type="auto" w:w="0"/>
            <w:gridSpan w:val="1"/>
            <w:tcBorders>
              <w:top w:val="single" w:color="CCCCCC" w:sz="1"/>
              <w:left w:val="single" w:color="CCCCCC" w:sz="1"/>
              <w:bottom w:val="single" w:color="CCCCCC" w:sz="1"/>
              <w:right w:val="single" w:color="CCCCCC" w:sz="1"/>
            </w:tcBorders>
            <w:shd w:fill="A8D4E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85.87 %</w:t>
            </w:r>
          </w:p>
        </w:tc>
      </w:tr>
      <w:tr>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06/06/2026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18:29</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APRÈS — J+0</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3.22</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2.15</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2.58</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82.24 %</w:t>
            </w:r>
          </w:p>
        </w:tc>
      </w:tr>
      <w:tr>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07/06/2026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22:05</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APRÈS — J+1</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2.73</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2.17</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2.55</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86.13 %</w:t>
            </w:r>
          </w:p>
        </w:tc>
      </w:tr>
      <w:tr>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08/06/2026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07:58</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APRÈS — J+2 ★ PIC</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2.85</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2.33</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2.59</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86.53 %</w:t>
            </w:r>
          </w:p>
        </w:tc>
      </w:tr>
      <w:tr>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09/06/2026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08:18</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APRÈS — J+3</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2.91</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2.12</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2.55</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84.60 %</w:t>
            </w:r>
          </w:p>
        </w:tc>
      </w:tr>
      <w:tr>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09/06/2026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11:06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APRÈS — J+3</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3.10</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2.07</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2.46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90.63 %</w:t>
            </w:r>
          </w:p>
        </w:tc>
      </w:tr>
      <w:tr>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10/06/2026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12:01</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APRÈS — J+4 ★ ALIGN</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2.79</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2.22</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2.55</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92.41 %</w:t>
            </w:r>
          </w:p>
        </w:tc>
      </w:tr>
      <w:tr>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10/06/2026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23:10</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APRÈS — J+4</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2.76</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2.09</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2.50</w:t>
            </w:r>
          </w:p>
        </w:tc>
        <w:tc>
          <w:tcPr>
            <w:tcW w:type="auto" w:w="0"/>
            <w:gridSpan w:val="1"/>
            <w:tcBorders>
              <w:top w:val="single" w:color="CCCCCC" w:sz="1"/>
              <w:left w:val="single" w:color="CCCCCC" w:sz="1"/>
              <w:bottom w:val="single" w:color="CCCCCC" w:sz="1"/>
              <w:right w:val="single" w:color="CCCCCC" w:sz="1"/>
            </w:tcBorders>
            <w:shd w:fill="D5F0E4"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90.91 %</w:t>
            </w:r>
          </w:p>
        </w:tc>
      </w:tr>
      <w:tr>
        <w:tc>
          <w:tcPr>
            <w:tcW w:type="auto" w:w="0"/>
            <w:gridSpan w:val="1"/>
            <w:tcBorders>
              <w:top w:val="single" w:color="CCCCCC" w:sz="1"/>
              <w:left w:val="single" w:color="CCCCCC" w:sz="1"/>
              <w:bottom w:val="single" w:color="CCCCCC" w:sz="1"/>
              <w:right w:val="single" w:color="CCCCCC" w:sz="1"/>
            </w:tcBorders>
            <w:shd w:fill="A8E4C8"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MOYENNE APRÈS</w:t>
            </w:r>
          </w:p>
        </w:tc>
        <w:tc>
          <w:tcPr>
            <w:tcW w:type="auto" w:w="0"/>
            <w:gridSpan w:val="1"/>
            <w:tcBorders>
              <w:top w:val="single" w:color="CCCCCC" w:sz="1"/>
              <w:left w:val="single" w:color="CCCCCC" w:sz="1"/>
              <w:bottom w:val="single" w:color="CCCCCC" w:sz="1"/>
              <w:right w:val="single" w:color="CCCCCC" w:sz="1"/>
            </w:tcBorders>
            <w:shd w:fill="A8E4C8" w:val="clear"/>
            <w:tcMar>
              <w:top w:type="dxa" w:w="80"/>
              <w:left w:type="dxa" w:w="140"/>
              <w:bottom w:type="dxa" w:w="80"/>
              <w:right w:type="dxa" w:w="140"/>
            </w:tcMar>
            <w:vAlign w:val="center"/>
          </w:tcPr>
          <w:p>
            <w:pPr>
              <w:jc w:val="left"/>
            </w:pPr>
            <w:r>
              <w:rPr>
                <w:rFonts w:ascii="Arial" w:cs="Arial" w:eastAsia="Arial" w:hAnsi="Arial"/>
                <w:b w:val="false"/>
                <w:bCs w:val="false"/>
                <w:color w:val="0D2438"/>
                <w:sz w:val="20"/>
                <w:szCs w:val="20"/>
              </w:rPr>
              <w:t xml:space="preserve"/>
            </w:r>
          </w:p>
        </w:tc>
        <w:tc>
          <w:tcPr>
            <w:tcW w:type="auto" w:w="0"/>
            <w:gridSpan w:val="1"/>
            <w:tcBorders>
              <w:top w:val="single" w:color="CCCCCC" w:sz="1"/>
              <w:left w:val="single" w:color="CCCCCC" w:sz="1"/>
              <w:bottom w:val="single" w:color="CCCCCC" w:sz="1"/>
              <w:right w:val="single" w:color="CCCCCC" w:sz="1"/>
            </w:tcBorders>
            <w:shd w:fill="A8E4C8"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7 sessions</w:t>
            </w:r>
          </w:p>
        </w:tc>
        <w:tc>
          <w:tcPr>
            <w:tcW w:type="auto" w:w="0"/>
            <w:gridSpan w:val="1"/>
            <w:tcBorders>
              <w:top w:val="single" w:color="CCCCCC" w:sz="1"/>
              <w:left w:val="single" w:color="CCCCCC" w:sz="1"/>
              <w:bottom w:val="single" w:color="CCCCCC" w:sz="1"/>
              <w:right w:val="single" w:color="CCCCCC" w:sz="1"/>
            </w:tcBorders>
            <w:shd w:fill="A8E4C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2.91</w:t>
            </w:r>
          </w:p>
        </w:tc>
        <w:tc>
          <w:tcPr>
            <w:tcW w:type="auto" w:w="0"/>
            <w:gridSpan w:val="1"/>
            <w:tcBorders>
              <w:top w:val="single" w:color="CCCCCC" w:sz="1"/>
              <w:left w:val="single" w:color="CCCCCC" w:sz="1"/>
              <w:bottom w:val="single" w:color="CCCCCC" w:sz="1"/>
              <w:right w:val="single" w:color="CCCCCC" w:sz="1"/>
            </w:tcBorders>
            <w:shd w:fill="A8E4C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2.16</w:t>
            </w:r>
          </w:p>
        </w:tc>
        <w:tc>
          <w:tcPr>
            <w:tcW w:type="auto" w:w="0"/>
            <w:gridSpan w:val="1"/>
            <w:tcBorders>
              <w:top w:val="single" w:color="CCCCCC" w:sz="1"/>
              <w:left w:val="single" w:color="CCCCCC" w:sz="1"/>
              <w:bottom w:val="single" w:color="CCCCCC" w:sz="1"/>
              <w:right w:val="single" w:color="CCCCCC" w:sz="1"/>
            </w:tcBorders>
            <w:shd w:fill="A8E4C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2.54</w:t>
            </w:r>
          </w:p>
        </w:tc>
        <w:tc>
          <w:tcPr>
            <w:tcW w:type="auto" w:w="0"/>
            <w:gridSpan w:val="1"/>
            <w:tcBorders>
              <w:top w:val="single" w:color="CCCCCC" w:sz="1"/>
              <w:left w:val="single" w:color="CCCCCC" w:sz="1"/>
              <w:bottom w:val="single" w:color="CCCCCC" w:sz="1"/>
              <w:right w:val="single" w:color="CCCCCC" w:sz="1"/>
            </w:tcBorders>
            <w:shd w:fill="A8E4C8"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87.49 %</w:t>
            </w:r>
          </w:p>
        </w:tc>
      </w:tr>
      <w:tr>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left"/>
            </w:pPr>
            <w:r>
              <w:rPr>
                <w:rFonts w:ascii="Arial" w:cs="Arial" w:eastAsia="Arial" w:hAnsi="Arial"/>
                <w:b/>
                <w:bCs/>
                <w:color w:val="FFFFFF"/>
                <w:sz w:val="18"/>
                <w:szCs w:val="18"/>
              </w:rPr>
              <w:t xml:space="preserve">ÉVOLUTION</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left"/>
            </w:pPr>
            <w:r>
              <w:rPr>
                <w:rFonts w:ascii="Arial" w:cs="Arial" w:eastAsia="Arial" w:hAnsi="Arial"/>
                <w:b w:val="false"/>
                <w:bCs w:val="false"/>
                <w:color w:val="0D2438"/>
                <w:sz w:val="20"/>
                <w:szCs w:val="20"/>
              </w:rPr>
              <w:t xml:space="preserve"/>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left"/>
            </w:pPr>
            <w:r>
              <w:rPr>
                <w:rFonts w:ascii="Arial" w:cs="Arial" w:eastAsia="Arial" w:hAnsi="Arial"/>
                <w:b w:val="false"/>
                <w:bCs w:val="false"/>
                <w:color w:val="0D2438"/>
                <w:sz w:val="20"/>
                <w:szCs w:val="20"/>
              </w:rPr>
              <w:t xml:space="preserve"/>
            </w:r>
          </w:p>
        </w:tc>
        <w:tc>
          <w:tcPr>
            <w:tcW w:type="auto" w:w="0"/>
            <w:gridSpan w:val="1"/>
            <w:tcBorders>
              <w:top w:val="single" w:color="CCCCCC" w:sz="1"/>
              <w:left w:val="single" w:color="CCCCCC" w:sz="1"/>
              <w:bottom w:val="single" w:color="CCCCCC" w:sz="1"/>
              <w:right w:val="single" w:color="CCCCCC" w:sz="1"/>
            </w:tcBorders>
            <w:shd w:fill="FFF3CD" w:val="clear"/>
            <w:tcMar>
              <w:top w:type="dxa" w:w="80"/>
              <w:left w:type="dxa" w:w="140"/>
              <w:bottom w:type="dxa" w:w="80"/>
              <w:right w:type="dxa" w:w="140"/>
            </w:tcMar>
            <w:vAlign w:val="center"/>
          </w:tcPr>
          <w:p>
            <w:pPr>
              <w:jc w:val="center"/>
            </w:pPr>
            <w:r>
              <w:rPr>
                <w:rFonts w:ascii="Arial" w:cs="Arial" w:eastAsia="Arial" w:hAnsi="Arial"/>
                <w:b/>
                <w:bCs/>
                <w:color w:val="8B5E00"/>
                <w:sz w:val="18"/>
                <w:szCs w:val="18"/>
              </w:rPr>
              <w:t xml:space="preserve">-15.9 %</w:t>
            </w:r>
          </w:p>
        </w:tc>
        <w:tc>
          <w:tcPr>
            <w:tcW w:type="auto" w:w="0"/>
            <w:gridSpan w:val="1"/>
            <w:tcBorders>
              <w:top w:val="single" w:color="CCCCCC" w:sz="1"/>
              <w:left w:val="single" w:color="CCCCCC" w:sz="1"/>
              <w:bottom w:val="single" w:color="CCCCCC" w:sz="1"/>
              <w:right w:val="single" w:color="CCCCCC" w:sz="1"/>
            </w:tcBorders>
            <w:shd w:fill="FFF3CD" w:val="clear"/>
            <w:tcMar>
              <w:top w:type="dxa" w:w="80"/>
              <w:left w:type="dxa" w:w="140"/>
              <w:bottom w:type="dxa" w:w="80"/>
              <w:right w:type="dxa" w:w="140"/>
            </w:tcMar>
            <w:vAlign w:val="center"/>
          </w:tcPr>
          <w:p>
            <w:pPr>
              <w:jc w:val="center"/>
            </w:pPr>
            <w:r>
              <w:rPr>
                <w:rFonts w:ascii="Arial" w:cs="Arial" w:eastAsia="Arial" w:hAnsi="Arial"/>
                <w:b/>
                <w:bCs/>
                <w:color w:val="8B5E00"/>
                <w:sz w:val="18"/>
                <w:szCs w:val="18"/>
              </w:rPr>
              <w:t xml:space="preserve">+8.0 %</w:t>
            </w:r>
          </w:p>
        </w:tc>
        <w:tc>
          <w:tcPr>
            <w:tcW w:type="auto" w:w="0"/>
            <w:gridSpan w:val="1"/>
            <w:tcBorders>
              <w:top w:val="single" w:color="CCCCCC" w:sz="1"/>
              <w:left w:val="single" w:color="CCCCCC" w:sz="1"/>
              <w:bottom w:val="single" w:color="CCCCCC" w:sz="1"/>
              <w:right w:val="single" w:color="CCCCCC" w:sz="1"/>
            </w:tcBorders>
            <w:shd w:fill="FFF3CD" w:val="clear"/>
            <w:tcMar>
              <w:top w:type="dxa" w:w="80"/>
              <w:left w:type="dxa" w:w="140"/>
              <w:bottom w:type="dxa" w:w="80"/>
              <w:right w:type="dxa" w:w="140"/>
            </w:tcMar>
            <w:vAlign w:val="center"/>
          </w:tcPr>
          <w:p>
            <w:pPr>
              <w:jc w:val="center"/>
            </w:pPr>
            <w:r>
              <w:rPr>
                <w:rFonts w:ascii="Arial" w:cs="Arial" w:eastAsia="Arial" w:hAnsi="Arial"/>
                <w:b/>
                <w:bCs/>
                <w:color w:val="8B5E00"/>
                <w:sz w:val="18"/>
                <w:szCs w:val="18"/>
              </w:rPr>
              <w:t xml:space="preserve">+3.7 %</w:t>
            </w:r>
          </w:p>
        </w:tc>
        <w:tc>
          <w:tcPr>
            <w:tcW w:type="auto" w:w="0"/>
            <w:gridSpan w:val="1"/>
            <w:tcBorders>
              <w:top w:val="single" w:color="CCCCCC" w:sz="1"/>
              <w:left w:val="single" w:color="CCCCCC" w:sz="1"/>
              <w:bottom w:val="single" w:color="CCCCCC" w:sz="1"/>
              <w:right w:val="single" w:color="CCCCCC" w:sz="1"/>
            </w:tcBorders>
            <w:shd w:fill="FFF3CD" w:val="clear"/>
            <w:tcMar>
              <w:top w:type="dxa" w:w="80"/>
              <w:left w:type="dxa" w:w="140"/>
              <w:bottom w:type="dxa" w:w="80"/>
              <w:right w:type="dxa" w:w="140"/>
            </w:tcMar>
            <w:vAlign w:val="center"/>
          </w:tcPr>
          <w:p>
            <w:pPr>
              <w:jc w:val="center"/>
            </w:pPr>
            <w:r>
              <w:rPr>
                <w:rFonts w:ascii="Arial" w:cs="Arial" w:eastAsia="Arial" w:hAnsi="Arial"/>
                <w:b/>
                <w:bCs/>
                <w:color w:val="8B5E00"/>
                <w:sz w:val="18"/>
                <w:szCs w:val="18"/>
              </w:rPr>
              <w:t xml:space="preserve">+1.9 %</w:t>
            </w:r>
          </w:p>
        </w:tc>
      </w:tr>
    </w:tbl>
    <w:p>
      <w:r>
        <w:t xml:space="preserve"/>
      </w:r>
    </w:p>
    <w:p>
      <w:pPr>
        <w:spacing w:after="0"/>
      </w:pPr>
      <w:r>
        <w:rPr>
          <w:rFonts w:ascii="Arial" w:cs="Arial" w:eastAsia="Arial" w:hAnsi="Arial"/>
          <w:b/>
          <w:bCs/>
          <w:color w:val="0D2438"/>
          <w:sz w:val="18"/>
          <w:szCs w:val="18"/>
        </w:rPr>
        <w:t xml:space="preserve">Légende : </w:t>
      </w:r>
      <w:r>
        <w:rPr>
          <w:rFonts w:ascii="Arial" w:cs="Arial" w:eastAsia="Arial" w:hAnsi="Arial"/>
          <w:color w:val="1565C0"/>
          <w:sz w:val="18"/>
          <w:szCs w:val="18"/>
        </w:rPr>
        <w:t xml:space="preserve">  Bleu clair = sessions AVANT   </w:t>
      </w:r>
      <w:r>
        <w:rPr>
          <w:rFonts w:ascii="Arial" w:cs="Arial" w:eastAsia="Arial" w:hAnsi="Arial"/>
          <w:color w:val="1A6E3A"/>
          <w:sz w:val="18"/>
          <w:szCs w:val="18"/>
        </w:rPr>
        <w:t xml:space="preserve">  Vert clair = sessions APRÈS   </w:t>
      </w:r>
      <w:r>
        <w:rPr>
          <w:rFonts w:ascii="Arial" w:cs="Arial" w:eastAsia="Arial" w:hAnsi="Arial"/>
          <w:color w:val="B8943C"/>
          <w:sz w:val="18"/>
          <w:szCs w:val="18"/>
        </w:rPr>
        <w:t xml:space="preserve">  ★ = session pic  </w:t>
      </w:r>
      <w:r>
        <w:rPr>
          <w:rFonts w:ascii="Arial" w:cs="Arial" w:eastAsia="Arial" w:hAnsi="Arial"/>
          <w:color w:val="8B5E00"/>
          <w:sz w:val="18"/>
          <w:szCs w:val="18"/>
        </w:rPr>
        <w:t xml:space="preserve">  Jaune = évolution entre les deux phases</w:t>
      </w:r>
    </w:p>
    <w:p>
      <w:r>
        <w:br w:type="page"/>
      </w:r>
    </w:p>
    <w:p>
      <w:pPr>
        <w:pStyle w:val="Heading1"/>
        <w:spacing w:after="120" w:before="280"/>
      </w:pPr>
      <w:r>
        <w:rPr>
          <w:rFonts w:ascii="Arial" w:cs="Arial" w:eastAsia="Arial" w:hAnsi="Arial"/>
          <w:color w:val="0D2438"/>
        </w:rPr>
        <w:t xml:space="preserve">4. Analyse des résultats</w:t>
      </w:r>
    </w:p>
    <w:p>
      <w:pPr>
        <w:pStyle w:val="Heading2"/>
        <w:spacing w:after="120" w:before="280"/>
      </w:pPr>
      <w:r>
        <w:rPr>
          <w:rFonts w:ascii="Arial" w:cs="Arial" w:eastAsia="Arial" w:hAnsi="Arial"/>
          <w:color w:val="0D2438"/>
        </w:rPr>
        <w:t xml:space="preserve">4.1  Réduction du stress  —  −16 %</w:t>
      </w:r>
    </w:p>
    <w:p>
      <w:pPr>
        <w:spacing w:after="160"/>
        <w:jc w:val="left"/>
      </w:pPr>
      <w:r>
        <w:rPr>
          <w:rFonts w:ascii="Arial" w:cs="Arial" w:eastAsia="Arial" w:hAnsi="Arial"/>
          <w:b w:val="false"/>
          <w:bCs w:val="false"/>
          <w:i w:val="false"/>
          <w:iCs w:val="false"/>
          <w:color w:val="0D2438"/>
          <w:sz w:val="22"/>
          <w:szCs w:val="22"/>
        </w:rPr>
        <w:t xml:space="preserve">C'est l'indicateur le plus immédiatement significatif. Le stress moyen passe de 3,46 avant le protocole à 2,91 après, soit une réduction de 16 %. Cette évolution est observée dès J+1 (2,73 le 7 juin) et se maintient de façon stable sur l'ensemble des 5 jours de suivi.</w:t>
      </w:r>
    </w:p>
    <w:p>
      <w:pPr>
        <w:spacing w:after="160"/>
        <w:jc w:val="left"/>
      </w:pPr>
      <w:r>
        <w:rPr>
          <w:rFonts w:ascii="Arial" w:cs="Arial" w:eastAsia="Arial" w:hAnsi="Arial"/>
          <w:b w:val="false"/>
          <w:bCs w:val="false"/>
          <w:i/>
          <w:iCs/>
          <w:color w:val="2E5F7A"/>
          <w:sz w:val="22"/>
          <w:szCs w:val="22"/>
        </w:rPr>
        <w:t xml:space="preserve">Cette réduction constante — sans pic de rebond — suggère un effet de régulation durable plutôt qu'une fluctuation aléatoire liée à l'état émotionnel du moment.</w:t>
      </w:r>
    </w:p>
    <w:p>
      <w:pPr>
        <w:pStyle w:val="Heading2"/>
        <w:spacing w:after="120" w:before="280"/>
      </w:pPr>
      <w:r>
        <w:rPr>
          <w:rFonts w:ascii="Arial" w:cs="Arial" w:eastAsia="Arial" w:hAnsi="Arial"/>
          <w:color w:val="0D2438"/>
        </w:rPr>
        <w:t xml:space="preserve">4.2  Cohérence énergétique CE  —  +8 %</w:t>
      </w:r>
    </w:p>
    <w:p>
      <w:pPr>
        <w:spacing w:after="160"/>
        <w:jc w:val="left"/>
      </w:pPr>
      <w:r>
        <w:rPr>
          <w:rFonts w:ascii="Arial" w:cs="Arial" w:eastAsia="Arial" w:hAnsi="Arial"/>
          <w:b w:val="false"/>
          <w:bCs w:val="false"/>
          <w:i w:val="false"/>
          <w:iCs w:val="false"/>
          <w:color w:val="0D2438"/>
          <w:sz w:val="22"/>
          <w:szCs w:val="22"/>
        </w:rPr>
        <w:t xml:space="preserve">La cohérence énergétique (CE) passe de 2,00 à 2,16 en moyenne, soit +8 %. Ce paramètre reflète la qualité d'organisation du champ bioélectrique — plus le signal est cohérent, moins il est bruité par des dysfonctionnements physiologiques.</w:t>
      </w:r>
    </w:p>
    <w:p>
      <w:pPr>
        <w:spacing w:after="160"/>
        <w:jc w:val="left"/>
      </w:pPr>
      <w:r>
        <w:rPr>
          <w:rFonts w:ascii="Arial" w:cs="Arial" w:eastAsia="Arial" w:hAnsi="Arial"/>
          <w:b w:val="false"/>
          <w:bCs w:val="false"/>
          <w:i w:val="false"/>
          <w:iCs w:val="false"/>
          <w:color w:val="0D2438"/>
          <w:sz w:val="22"/>
          <w:szCs w:val="22"/>
        </w:rPr>
        <w:t xml:space="preserve">La valeur record est atteinte le 8 juin au matin (CE = 2,33), correspondant au pic global de la série. Le champ de force (CF) progresse également : 2,45 → 2,54 (+3,7 %).</w:t>
      </w:r>
    </w:p>
    <w:p>
      <w:pPr>
        <w:pStyle w:val="Heading2"/>
        <w:spacing w:after="120" w:before="280"/>
      </w:pPr>
      <w:r>
        <w:rPr>
          <w:rFonts w:ascii="Arial" w:cs="Arial" w:eastAsia="Arial" w:hAnsi="Arial"/>
          <w:color w:val="0D2438"/>
        </w:rPr>
        <w:t xml:space="preserve">4.3  Alignement global des chakras  —  +1,9 points</w:t>
      </w:r>
    </w:p>
    <w:p>
      <w:pPr>
        <w:spacing w:after="160"/>
        <w:jc w:val="left"/>
      </w:pPr>
      <w:r>
        <w:rPr>
          <w:rFonts w:ascii="Arial" w:cs="Arial" w:eastAsia="Arial" w:hAnsi="Arial"/>
          <w:b w:val="false"/>
          <w:bCs w:val="false"/>
          <w:i w:val="false"/>
          <w:iCs w:val="false"/>
          <w:color w:val="0D2438"/>
          <w:sz w:val="22"/>
          <w:szCs w:val="22"/>
        </w:rPr>
        <w:t xml:space="preserve">L'alignement global passe de 85,87 % à 87,49 %. La trajectoire est particulièrement remarquable en fin de protocole : 90,63 % le 9 juin à 11h06, 92,41 % le 10 juin à midi, 90,91 % le 10 juin le soir.</w:t>
      </w:r>
    </w:p>
    <w:p>
      <w:pPr>
        <w:spacing w:after="160"/>
        <w:jc w:val="left"/>
      </w:pPr>
      <w:r>
        <w:rPr>
          <w:rFonts w:ascii="Arial" w:cs="Arial" w:eastAsia="Arial" w:hAnsi="Arial"/>
          <w:b w:val="false"/>
          <w:bCs w:val="false"/>
          <w:i w:val="false"/>
          <w:iCs w:val="false"/>
          <w:color w:val="0D2438"/>
          <w:sz w:val="22"/>
          <w:szCs w:val="22"/>
        </w:rPr>
        <w:t xml:space="preserve">Ces trois valeurs consécutives dépassent 90 % — un seuil qui n'avait jamais été atteint dans aucune des 4 sessions de référence AVANT consommation.</w:t>
      </w:r>
    </w:p>
    <w:p>
      <w:pPr>
        <w:pStyle w:val="Heading2"/>
        <w:spacing w:after="120" w:before="280"/>
      </w:pPr>
      <w:r>
        <w:rPr>
          <w:rFonts w:ascii="Arial" w:cs="Arial" w:eastAsia="Arial" w:hAnsi="Arial"/>
          <w:color w:val="0D2438"/>
        </w:rPr>
        <w:t xml:space="preserve">4.4  Chakras supérieurs — les plus impactés</w:t>
      </w:r>
    </w:p>
    <w:p>
      <w:pPr>
        <w:pBdr>
          <w:left w:val="single" w:color="9C27B0" w:sz="12" w:space="4"/>
        </w:pBdr>
        <w:shd w:fill="F3E5F5" w:val="clear"/>
        <w:spacing w:after="200"/>
        <w:ind w:left="360"/>
      </w:pPr>
      <w:r>
        <w:rPr>
          <w:rFonts w:ascii="Arial" w:cs="Arial" w:eastAsia="Arial" w:hAnsi="Arial"/>
          <w:i/>
          <w:iCs/>
          <w:color w:val="4A0072"/>
          <w:sz w:val="22"/>
          <w:szCs w:val="22"/>
        </w:rPr>
        <w:t xml:space="preserve">Les chakras supérieurs — Ajna (3e œil, +9,8 %) et Sahasrara (couronne, +10,1 %) — enregistrent les progressions les plus importantes. Ces deux centres sont associés dans la tradition et dans les mesures Biowell aux fonctions de conscience supérieure, d'intuition et de connexion au champ universel. Leur activation parallèle à la prise d'eau structurée constitue la signature énergétique la plus remarquable de cette expérience.</w:t>
      </w:r>
    </w:p>
    <w:p>
      <w:pPr>
        <w:pStyle w:val="ListParagraph"/>
        <w:numPr>
          <w:ilvl w:val="0"/>
          <w:numId w:val="3"/>
        </w:numPr>
        <w:spacing w:after="80"/>
      </w:pPr>
      <w:r>
        <w:rPr>
          <w:rFonts w:ascii="Arial" w:cs="Arial" w:eastAsia="Arial" w:hAnsi="Arial"/>
          <w:sz w:val="22"/>
          <w:szCs w:val="22"/>
        </w:rPr>
        <w:t xml:space="preserve">Sahasrara (couronne) : 4,76 → 5,24  (+10,1 %) ★ plus forte progression</w:t>
      </w:r>
    </w:p>
    <w:p>
      <w:pPr>
        <w:pStyle w:val="ListParagraph"/>
        <w:numPr>
          <w:ilvl w:val="0"/>
          <w:numId w:val="3"/>
        </w:numPr>
        <w:spacing w:after="80"/>
      </w:pPr>
      <w:r>
        <w:rPr>
          <w:rFonts w:ascii="Arial" w:cs="Arial" w:eastAsia="Arial" w:hAnsi="Arial"/>
          <w:sz w:val="22"/>
          <w:szCs w:val="22"/>
        </w:rPr>
        <w:t xml:space="preserve">Ajna (3e œil) : 4,40 → 4,83  (+9,8 %) ★</w:t>
      </w:r>
    </w:p>
    <w:p>
      <w:pPr>
        <w:pStyle w:val="ListParagraph"/>
        <w:numPr>
          <w:ilvl w:val="0"/>
          <w:numId w:val="3"/>
        </w:numPr>
        <w:spacing w:after="80"/>
      </w:pPr>
      <w:r>
        <w:rPr>
          <w:rFonts w:ascii="Arial" w:cs="Arial" w:eastAsia="Arial" w:hAnsi="Arial"/>
          <w:sz w:val="22"/>
          <w:szCs w:val="22"/>
        </w:rPr>
        <w:t xml:space="preserve">Vishuddha (gorge) : 6,30 → 6,80  (+7,9 %)</w:t>
      </w:r>
    </w:p>
    <w:p>
      <w:pPr>
        <w:pStyle w:val="ListParagraph"/>
        <w:numPr>
          <w:ilvl w:val="0"/>
          <w:numId w:val="3"/>
        </w:numPr>
        <w:spacing w:after="200"/>
      </w:pPr>
      <w:r>
        <w:rPr>
          <w:rFonts w:ascii="Arial" w:cs="Arial" w:eastAsia="Arial" w:hAnsi="Arial"/>
          <w:sz w:val="22"/>
          <w:szCs w:val="22"/>
        </w:rPr>
        <w:t xml:space="preserve">Anahata (cœur) : 5,92 → 6,06  (+2,4 %)</w:t>
      </w:r>
    </w:p>
    <w:p>
      <w:pPr>
        <w:pStyle w:val="Heading2"/>
        <w:spacing w:after="120" w:before="280"/>
      </w:pPr>
      <w:r>
        <w:rPr>
          <w:rFonts w:ascii="Arial" w:cs="Arial" w:eastAsia="Arial" w:hAnsi="Arial"/>
          <w:color w:val="0D2438"/>
        </w:rPr>
        <w:t xml:space="preserve">4.5  Le pic du 8 juin — J+2 matin</w:t>
      </w:r>
    </w:p>
    <w:p>
      <w:pPr>
        <w:spacing w:after="160"/>
        <w:jc w:val="left"/>
      </w:pPr>
      <w:r>
        <w:rPr>
          <w:rFonts w:ascii="Arial" w:cs="Arial" w:eastAsia="Arial" w:hAnsi="Arial"/>
          <w:b w:val="false"/>
          <w:bCs w:val="false"/>
          <w:i w:val="false"/>
          <w:iCs w:val="false"/>
          <w:color w:val="0D2438"/>
          <w:sz w:val="22"/>
          <w:szCs w:val="22"/>
        </w:rPr>
        <w:t xml:space="preserve">La session du 8 juin 2026 à 07h58 constitue le moment le plus remarquable de la série entière :</w:t>
      </w:r>
    </w:p>
    <w:p>
      <w:pPr>
        <w:pStyle w:val="ListParagraph"/>
        <w:numPr>
          <w:ilvl w:val="0"/>
          <w:numId w:val="3"/>
        </w:numPr>
        <w:spacing w:after="80"/>
      </w:pPr>
      <w:r>
        <w:rPr>
          <w:rFonts w:ascii="Arial" w:cs="Arial" w:eastAsia="Arial" w:hAnsi="Arial"/>
          <w:b/>
          <w:bCs/>
          <w:sz w:val="22"/>
          <w:szCs w:val="22"/>
        </w:rPr>
        <w:t xml:space="preserve">CE = 2,33  —  valeur maximale sur l'ensemble des 11 sessions</w:t>
      </w:r>
    </w:p>
    <w:p>
      <w:pPr>
        <w:pStyle w:val="ListParagraph"/>
        <w:numPr>
          <w:ilvl w:val="0"/>
          <w:numId w:val="3"/>
        </w:numPr>
        <w:spacing w:after="80"/>
      </w:pPr>
      <w:r>
        <w:rPr>
          <w:rFonts w:ascii="Arial" w:cs="Arial" w:eastAsia="Arial" w:hAnsi="Arial"/>
          <w:sz w:val="22"/>
          <w:szCs w:val="22"/>
        </w:rPr>
        <w:t xml:space="preserve">Muladhara : 7,18  /  Manipura : 7,05  /  Anahata : 7,27  /  Vishuddha : 7,73  —  tous au-dessus de 7</w:t>
      </w:r>
    </w:p>
    <w:p>
      <w:pPr>
        <w:pStyle w:val="ListParagraph"/>
        <w:numPr>
          <w:ilvl w:val="0"/>
          <w:numId w:val="3"/>
        </w:numPr>
        <w:spacing w:after="80"/>
      </w:pPr>
      <w:r>
        <w:rPr>
          <w:rFonts w:ascii="Arial" w:cs="Arial" w:eastAsia="Arial" w:hAnsi="Arial"/>
          <w:sz w:val="22"/>
          <w:szCs w:val="22"/>
        </w:rPr>
        <w:t xml:space="preserve">Mode de vie : Régime du jour à 95 %, Nutrition à 77 %  —  records sur la série</w:t>
      </w:r>
    </w:p>
    <w:p>
      <w:pPr>
        <w:pStyle w:val="ListParagraph"/>
        <w:numPr>
          <w:ilvl w:val="0"/>
          <w:numId w:val="3"/>
        </w:numPr>
        <w:spacing w:after="200"/>
      </w:pPr>
      <w:r>
        <w:rPr>
          <w:rFonts w:ascii="Arial" w:cs="Arial" w:eastAsia="Arial" w:hAnsi="Arial"/>
          <w:sz w:val="22"/>
          <w:szCs w:val="22"/>
        </w:rPr>
        <w:t xml:space="preserve">Stress : 2,85  —  parmi les plus bas de la série</w:t>
      </w:r>
    </w:p>
    <w:p>
      <w:r>
        <w:br w:type="page"/>
      </w:r>
    </w:p>
    <w:p>
      <w:pPr>
        <w:pStyle w:val="Heading1"/>
        <w:spacing w:after="120" w:before="280"/>
      </w:pPr>
      <w:r>
        <w:rPr>
          <w:rFonts w:ascii="Arial" w:cs="Arial" w:eastAsia="Arial" w:hAnsi="Arial"/>
          <w:color w:val="0D2438"/>
        </w:rPr>
        <w:t xml:space="preserve">5. Narration — « L'eau qui réécrit le champ »</w:t>
      </w:r>
    </w:p>
    <w:p>
      <w:pPr>
        <w:spacing w:after="20"/>
        <w:jc w:val="right"/>
      </w:pPr>
      <w:r>
        <w:rPr>
          <w:rFonts w:ascii="Arial" w:cs="Arial" w:eastAsia="Arial" w:hAnsi="Arial"/>
          <w:i/>
          <w:iCs/>
          <w:color w:val="9BBFD4"/>
          <w:sz w:val="19"/>
          <w:szCs w:val="19"/>
        </w:rPr>
        <w:t xml:space="preserve">Par Michael Chauvet  ·  Axis Lumen  ·  Juin 2026</w:t>
      </w:r>
    </w:p>
    <w:p>
      <w:r>
        <w:t xml:space="preserve"/>
      </w:r>
    </w:p>
    <w:p>
      <w:pPr>
        <w:spacing w:after="160"/>
        <w:jc w:val="left"/>
      </w:pPr>
      <w:r>
        <w:rPr>
          <w:rFonts w:ascii="Arial" w:cs="Arial" w:eastAsia="Arial" w:hAnsi="Arial"/>
          <w:b w:val="false"/>
          <w:bCs w:val="false"/>
          <w:i w:val="false"/>
          <w:iCs w:val="false"/>
          <w:color w:val="0D2438"/>
          <w:sz w:val="22"/>
          <w:szCs w:val="22"/>
        </w:rPr>
        <w:t xml:space="preserve">Il y a des mesures qui parlent comme des signes. Pas des statistiques abstraites — des variations qui correspondent à quelque chose de vécu, de ressenti, de traversé.</w:t>
      </w:r>
    </w:p>
    <w:p>
      <w:pPr>
        <w:spacing w:after="160"/>
        <w:jc w:val="left"/>
      </w:pPr>
      <w:r>
        <w:rPr>
          <w:rFonts w:ascii="Arial" w:cs="Arial" w:eastAsia="Arial" w:hAnsi="Arial"/>
          <w:b w:val="false"/>
          <w:bCs w:val="false"/>
          <w:i w:val="false"/>
          <w:iCs w:val="false"/>
          <w:color w:val="0D2438"/>
          <w:sz w:val="22"/>
          <w:szCs w:val="22"/>
        </w:rPr>
        <w:t xml:space="preserve">Pendant huit mois, la caméra Biowell a capturé mon état énergétique au fil de séances régulières. Quatre mesures de référence, avant tout protocole particulier. Puis, le 6 juin 2026 : première gorgée d'Eau Vivante Plasma. L'eau qui avait été distillée, magnétisée, vortexée, traversée par le champ de la machine Violet-MaGrav, et enfin posée sur l'antenne Aplicum pour recevoir les fréquences du biofeedback Axis Lumen.</w:t>
      </w:r>
    </w:p>
    <w:p>
      <w:pPr>
        <w:spacing w:after="160"/>
        <w:jc w:val="left"/>
      </w:pPr>
      <w:r>
        <w:rPr>
          <w:rFonts w:ascii="Arial" w:cs="Arial" w:eastAsia="Arial" w:hAnsi="Arial"/>
          <w:b w:val="false"/>
          <w:bCs w:val="false"/>
          <w:i w:val="false"/>
          <w:iCs w:val="false"/>
          <w:color w:val="0D2438"/>
          <w:sz w:val="22"/>
          <w:szCs w:val="22"/>
        </w:rPr>
        <w:t xml:space="preserve">Ce que la caméra a capturé ensuite, je ne pouvais pas l'anticiper.</w:t>
      </w:r>
    </w:p>
    <w:p>
      <w:pPr>
        <w:pBdr>
          <w:top w:val="none" w:color="FFFFFF" w:sz="0"/>
          <w:bottom w:val="none" w:color="FFFFFF" w:sz="0"/>
          <w:left w:val="single" w:color="3DBDCC" w:sz="14" w:space="4"/>
          <w:right w:val="none" w:color="FFFFFF" w:sz="0"/>
        </w:pBdr>
        <w:shd w:fill="E3F2FD" w:val="clear"/>
        <w:spacing w:after="160"/>
        <w:ind w:left="360"/>
      </w:pPr>
      <w:r>
        <w:rPr>
          <w:rFonts w:ascii="Arial" w:cs="Arial" w:eastAsia="Arial" w:hAnsi="Arial"/>
          <w:i/>
          <w:iCs/>
          <w:color w:val="1565C0"/>
          <w:sz w:val="22"/>
          <w:szCs w:val="22"/>
        </w:rPr>
        <w:t xml:space="preserve">Le stress a commencé à reculer. Non pas d'un coup — mais progressivement, comme une marée qui se retire. 3,87 avant. 2,73 le lendemain. 2,76 quatre jours plus tard. Le corps se souvenait de quelque chose qu'il avait oublié.</w:t>
      </w:r>
    </w:p>
    <w:p>
      <w:pPr>
        <w:spacing w:after="160"/>
        <w:jc w:val="left"/>
      </w:pPr>
      <w:r>
        <w:rPr>
          <w:rFonts w:ascii="Arial" w:cs="Arial" w:eastAsia="Arial" w:hAnsi="Arial"/>
          <w:b w:val="false"/>
          <w:bCs w:val="false"/>
          <w:i w:val="false"/>
          <w:iCs w:val="false"/>
          <w:color w:val="0D2438"/>
          <w:sz w:val="22"/>
          <w:szCs w:val="22"/>
        </w:rPr>
        <w:t xml:space="preserve">Le matin du 8 juin, deux jours après la première consommation, quelque chose s'est ouvert. La cohérence énergétique CE a atteint 2,33 — son niveau le plus élevé en huit mois de mesures. Les chakras se sont alignés comme les notes d'un accord qu'on n'avait jamais réussi à jouer juste : Muladhara, Manipura, Anahata, Vishuddha — tous au-delà de 7. Et surtout, les deux chakras que les mesures montrent habituellement les plus silencieux — Ajna, le troisième œil, et Sahasrara, la couronne — ont enregistré leurs plus fortes progressions sur toute la série.</w:t>
      </w:r>
    </w:p>
    <w:p>
      <w:pPr>
        <w:spacing w:after="160"/>
        <w:jc w:val="left"/>
      </w:pPr>
      <w:r>
        <w:rPr>
          <w:rFonts w:ascii="Arial" w:cs="Arial" w:eastAsia="Arial" w:hAnsi="Arial"/>
          <w:b w:val="false"/>
          <w:bCs w:val="false"/>
          <w:i w:val="false"/>
          <w:iCs w:val="false"/>
          <w:color w:val="0D2438"/>
          <w:sz w:val="22"/>
          <w:szCs w:val="22"/>
        </w:rPr>
        <w:t xml:space="preserve">+9,8 % pour Ajna. +10,1 % pour Sahasrara.</w:t>
      </w:r>
    </w:p>
    <w:p>
      <w:pPr>
        <w:spacing w:after="160"/>
        <w:jc w:val="left"/>
      </w:pPr>
      <w:r>
        <w:rPr>
          <w:rFonts w:ascii="Arial" w:cs="Arial" w:eastAsia="Arial" w:hAnsi="Arial"/>
          <w:b w:val="false"/>
          <w:bCs w:val="false"/>
          <w:i w:val="false"/>
          <w:iCs w:val="false"/>
          <w:color w:val="0D2438"/>
          <w:sz w:val="22"/>
          <w:szCs w:val="22"/>
        </w:rPr>
        <w:t xml:space="preserve">Dans la tradition des systèmes énergétiques, ces deux centres correspondent à la conscience claire et à la connexion avec le champ universel. Dans la mesure GDV, ils reflètent la qualité de l'intégration nerveuse supérieure et la cohérence du champ bio-électromagnétique global.</w:t>
      </w:r>
    </w:p>
    <w:p>
      <w:pPr>
        <w:spacing w:after="160"/>
        <w:jc w:val="left"/>
      </w:pPr>
      <w:r>
        <w:rPr>
          <w:rFonts w:ascii="Arial" w:cs="Arial" w:eastAsia="Arial" w:hAnsi="Arial"/>
          <w:b w:val="false"/>
          <w:bCs w:val="false"/>
          <w:i w:val="false"/>
          <w:iCs w:val="false"/>
          <w:color w:val="0D2438"/>
          <w:sz w:val="22"/>
          <w:szCs w:val="22"/>
        </w:rPr>
        <w:t xml:space="preserve">La formule φ²⁰ d'Axis Lumen — f = c² / (1000 × Nₐ × h × φ²⁰) × M — calcule les fréquences qui correspondent aux masses moléculaires des structures vivantes. Filtrées par le nombre d'or élevé à la puissance 20, ces fréquences résonnent avec la géométrie du vivant. L'eau, une fois structurée par ces vibrations, agit moins comme un solvant que comme un porteur de mémoire fréquentielle.</w:t>
      </w:r>
    </w:p>
    <w:p>
      <w:pPr>
        <w:pBdr>
          <w:top w:val="none" w:color="FFFFFF" w:sz="0"/>
          <w:bottom w:val="none" w:color="FFFFFF" w:sz="0"/>
          <w:left w:val="single" w:color="B8943C" w:sz="14" w:space="4"/>
          <w:right w:val="none" w:color="FFFFFF" w:sz="0"/>
        </w:pBdr>
        <w:shd w:fill="FFF8E1" w:val="clear"/>
        <w:spacing w:after="160"/>
        <w:ind w:left="360"/>
      </w:pPr>
      <w:r>
        <w:rPr>
          <w:rFonts w:ascii="Arial" w:cs="Arial" w:eastAsia="Arial" w:hAnsi="Arial"/>
          <w:i/>
          <w:iCs/>
          <w:color w:val="7B5E00"/>
          <w:sz w:val="22"/>
          <w:szCs w:val="22"/>
        </w:rPr>
        <w:t xml:space="preserve">Le corps humain est composé à plus de 60 % d'eau. Quand l'eau que l'on boit porte une mémoire cohérente — une structure accordée à la géométrie du vivant — le signal qui traverse les cellules change de qualité. Ce n'est pas de la mystique. C'est de la physique du champ appliquée à la biologie.</w:t>
      </w:r>
    </w:p>
    <w:p>
      <w:pPr>
        <w:spacing w:after="160"/>
        <w:jc w:val="left"/>
      </w:pPr>
      <w:r>
        <w:rPr>
          <w:rFonts w:ascii="Arial" w:cs="Arial" w:eastAsia="Arial" w:hAnsi="Arial"/>
          <w:b w:val="false"/>
          <w:bCs w:val="false"/>
          <w:i w:val="false"/>
          <w:iCs w:val="false"/>
          <w:color w:val="0D2438"/>
          <w:sz w:val="22"/>
          <w:szCs w:val="22"/>
        </w:rPr>
        <w:t xml:space="preserve">Les mesures que vous lisez ici ne sont pas une étude en double aveugle. Ce sont les notes de terrain d'un chercheur qui observe, qui mesure, qui prend acte. La rigueur est dans la répétition : 11 sessions, 5 jours consécutifs, le même sujet, le même instrument, la même heure du matin pour les mesures clés.</w:t>
      </w:r>
    </w:p>
    <w:p>
      <w:pPr>
        <w:spacing w:after="160"/>
        <w:jc w:val="left"/>
      </w:pPr>
      <w:r>
        <w:rPr>
          <w:rFonts w:ascii="Arial" w:cs="Arial" w:eastAsia="Arial" w:hAnsi="Arial"/>
          <w:b w:val="false"/>
          <w:bCs w:val="false"/>
          <w:i w:val="false"/>
          <w:iCs w:val="false"/>
          <w:color w:val="0D2438"/>
          <w:sz w:val="22"/>
          <w:szCs w:val="22"/>
        </w:rPr>
        <w:t xml:space="preserve">Et ce que ces notes disent, clairement, est ceci :</w:t>
      </w:r>
    </w:p>
    <w:p>
      <w:pPr>
        <w:shd w:fill="EAF5FB" w:val="clear"/>
        <w:spacing w:after="200"/>
        <w:jc w:val="center"/>
      </w:pPr>
      <w:r>
        <w:rPr>
          <w:rFonts w:ascii="Arial" w:cs="Arial" w:eastAsia="Arial" w:hAnsi="Arial"/>
          <w:b/>
          <w:bCs/>
          <w:i/>
          <w:iCs/>
          <w:color w:val="1E8BC3"/>
          <w:sz w:val="24"/>
          <w:szCs w:val="24"/>
        </w:rPr>
        <w:t xml:space="preserve">l'eau structure le champ. et le champ, à son tour, réécrit le corps.</w:t>
      </w:r>
    </w:p>
    <w:p>
      <w:r>
        <w:br w:type="page"/>
      </w:r>
    </w:p>
    <w:p>
      <w:pPr>
        <w:pStyle w:val="Heading1"/>
        <w:spacing w:after="120" w:before="280"/>
      </w:pPr>
      <w:r>
        <w:rPr>
          <w:rFonts w:ascii="Arial" w:cs="Arial" w:eastAsia="Arial" w:hAnsi="Arial"/>
          <w:color w:val="0D2438"/>
        </w:rPr>
        <w:t xml:space="preserve">6. Comparatif par chakra</w:t>
      </w:r>
    </w:p>
    <w:p>
      <w:pPr>
        <w:spacing w:after="160"/>
        <w:jc w:val="left"/>
      </w:pPr>
      <w:r>
        <w:rPr>
          <w:rFonts w:ascii="Arial" w:cs="Arial" w:eastAsia="Arial" w:hAnsi="Arial"/>
          <w:b w:val="false"/>
          <w:bCs w:val="false"/>
          <w:i w:val="false"/>
          <w:iCs w:val="false"/>
          <w:color w:val="0D2438"/>
          <w:sz w:val="22"/>
          <w:szCs w:val="22"/>
        </w:rPr>
        <w:t xml:space="preserve">Tableau des 7 chakras — Énergie moyenne AVANT vs APRÈS consommation. La colonne ★ signale une progression supérieure à 5 %.</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800"/>
        <w:gridCol w:w="1800"/>
        <w:gridCol w:w="1500"/>
        <w:gridCol w:w="760"/>
      </w:tblGrid>
      <w:tr>
        <w:trPr>
          <w:tblHeader/>
        </w:trPr>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Chakra</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Énergie AVANT</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Énergie APRÈS</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Variation</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Muladhara (racine)</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6.09</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6.04</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bCs/>
                <w:color w:val="8B0000"/>
                <w:sz w:val="18"/>
                <w:szCs w:val="18"/>
              </w:rPr>
              <w:t xml:space="preserve">▼ -0.8 %</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Svadhisthana (sacré)</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6.04</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5.83</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bCs/>
                <w:color w:val="8B0000"/>
                <w:sz w:val="18"/>
                <w:szCs w:val="18"/>
              </w:rPr>
              <w:t xml:space="preserve">▼ -3.5 %</w:t>
            </w:r>
          </w:p>
        </w:tc>
        <w:tc>
          <w:tcPr>
            <w:tcW w:type="auto" w:w="0"/>
            <w:gridSpan w:val="1"/>
            <w:tcBorders>
              <w:top w:val="single" w:color="CCCCCC" w:sz="1"/>
              <w:left w:val="single" w:color="CCCCCC" w:sz="1"/>
              <w:bottom w:val="single" w:color="CCCCCC" w:sz="1"/>
              <w:right w:val="single" w:color="CCCCCC" w:sz="1"/>
            </w:tcBorders>
            <w:shd w:fill="FFF5F5"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Manipura (plexus)</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5.79</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5.99</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2E7D32"/>
                <w:sz w:val="18"/>
                <w:szCs w:val="18"/>
              </w:rPr>
              <w:t xml:space="preserve">▲ +3.5 %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Anahata (coeur)</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5.92</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6.06</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2E7D32"/>
                <w:sz w:val="18"/>
                <w:szCs w:val="18"/>
              </w:rPr>
              <w:t xml:space="preserve">▲ +2.4 %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Vishuddha (gorge)</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6.30</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6.80</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1A6E3A"/>
                <w:sz w:val="18"/>
                <w:szCs w:val="18"/>
              </w:rPr>
              <w:t xml:space="preserve">▲ +7.9 %</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w:t>
            </w:r>
          </w:p>
        </w:tc>
      </w:tr>
      <w:tr>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Ajna (3e oeil)</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4.40</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4.83</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1A6E3A"/>
                <w:sz w:val="18"/>
                <w:szCs w:val="18"/>
              </w:rPr>
              <w:t xml:space="preserve">▲ +9.8 %</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w:t>
            </w:r>
          </w:p>
        </w:tc>
      </w:tr>
      <w:tr>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Sahasrara (couronne)</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4.76</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5.24</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1A6E3A"/>
                <w:sz w:val="18"/>
                <w:szCs w:val="18"/>
              </w:rPr>
              <w:t xml:space="preserve">▲ +10.1 %</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w:t>
            </w:r>
          </w:p>
        </w:tc>
      </w:tr>
      <w:tr>
        <w:tc>
          <w:tcPr>
            <w:tcW w:type="auto" w:w="0"/>
            <w:gridSpan w:val="1"/>
            <w:tcBorders>
              <w:top w:val="single" w:color="CCCCCC" w:sz="1"/>
              <w:left w:val="single" w:color="CCCCCC" w:sz="1"/>
              <w:bottom w:val="single" w:color="CCCCCC" w:sz="1"/>
              <w:right w:val="single" w:color="CCCCCC" w:sz="1"/>
            </w:tcBorders>
            <w:shd w:fill="E3F2FD" w:val="clear"/>
            <w:tcMar>
              <w:top w:type="dxa" w:w="80"/>
              <w:left w:type="dxa" w:w="140"/>
              <w:bottom w:type="dxa" w:w="80"/>
              <w:right w:type="dxa" w:w="140"/>
            </w:tcMar>
            <w:vAlign w:val="center"/>
          </w:tcPr>
          <w:p>
            <w:pPr>
              <w:jc w:val="left"/>
            </w:pPr>
            <w:r>
              <w:rPr>
                <w:rFonts w:ascii="Arial" w:cs="Arial" w:eastAsia="Arial" w:hAnsi="Arial"/>
                <w:b/>
                <w:bCs/>
                <w:color w:val="0D2438"/>
                <w:sz w:val="18"/>
                <w:szCs w:val="18"/>
              </w:rPr>
              <w:t xml:space="preserve">Alignement global</w:t>
            </w:r>
          </w:p>
        </w:tc>
        <w:tc>
          <w:tcPr>
            <w:tcW w:type="auto" w:w="0"/>
            <w:gridSpan w:val="1"/>
            <w:tcBorders>
              <w:top w:val="single" w:color="CCCCCC" w:sz="1"/>
              <w:left w:val="single" w:color="CCCCCC" w:sz="1"/>
              <w:bottom w:val="single" w:color="CCCCCC" w:sz="1"/>
              <w:right w:val="single" w:color="CCCCCC" w:sz="1"/>
            </w:tcBorders>
            <w:shd w:fill="E3F2FD"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85.87 %</w:t>
            </w:r>
          </w:p>
        </w:tc>
        <w:tc>
          <w:tcPr>
            <w:tcW w:type="auto" w:w="0"/>
            <w:gridSpan w:val="1"/>
            <w:tcBorders>
              <w:top w:val="single" w:color="CCCCCC" w:sz="1"/>
              <w:left w:val="single" w:color="CCCCCC" w:sz="1"/>
              <w:bottom w:val="single" w:color="CCCCCC" w:sz="1"/>
              <w:right w:val="single" w:color="CCCCCC" w:sz="1"/>
            </w:tcBorders>
            <w:shd w:fill="E3F2FD"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87.49 %</w:t>
            </w:r>
          </w:p>
        </w:tc>
        <w:tc>
          <w:tcPr>
            <w:tcW w:type="auto" w:w="0"/>
            <w:gridSpan w:val="1"/>
            <w:tcBorders>
              <w:top w:val="single" w:color="CCCCCC" w:sz="1"/>
              <w:left w:val="single" w:color="CCCCCC" w:sz="1"/>
              <w:bottom w:val="single" w:color="CCCCCC" w:sz="1"/>
              <w:right w:val="single" w:color="CCCCCC" w:sz="1"/>
            </w:tcBorders>
            <w:shd w:fill="E3F2FD" w:val="clear"/>
            <w:tcMar>
              <w:top w:type="dxa" w:w="80"/>
              <w:left w:type="dxa" w:w="140"/>
              <w:bottom w:type="dxa" w:w="80"/>
              <w:right w:type="dxa" w:w="140"/>
            </w:tcMar>
            <w:vAlign w:val="center"/>
          </w:tcPr>
          <w:p>
            <w:pPr>
              <w:jc w:val="center"/>
            </w:pPr>
            <w:r>
              <w:rPr>
                <w:rFonts w:ascii="Arial" w:cs="Arial" w:eastAsia="Arial" w:hAnsi="Arial"/>
                <w:b/>
                <w:bCs/>
                <w:color w:val="1565C0"/>
                <w:sz w:val="18"/>
                <w:szCs w:val="18"/>
              </w:rPr>
              <w:t xml:space="preserve">+1.9 %</w:t>
            </w:r>
          </w:p>
        </w:tc>
        <w:tc>
          <w:tcPr>
            <w:tcW w:type="auto" w:w="0"/>
            <w:gridSpan w:val="1"/>
            <w:tcBorders>
              <w:top w:val="single" w:color="CCCCCC" w:sz="1"/>
              <w:left w:val="single" w:color="CCCCCC" w:sz="1"/>
              <w:bottom w:val="single" w:color="CCCCCC" w:sz="1"/>
              <w:right w:val="single" w:color="CCCCCC" w:sz="1"/>
            </w:tcBorders>
            <w:shd w:fill="E3F2FD" w:val="clear"/>
            <w:tcMar>
              <w:top w:type="dxa" w:w="80"/>
              <w:left w:type="dxa" w:w="140"/>
              <w:bottom w:type="dxa" w:w="80"/>
              <w:right w:type="dxa" w:w="140"/>
            </w:tcMar>
            <w:vAlign w:val="center"/>
          </w:tcPr>
          <w:p>
            <w:pPr>
              <w:jc w:val="left"/>
            </w:pPr>
            <w:r>
              <w:rPr>
                <w:rFonts w:ascii="Arial" w:cs="Arial" w:eastAsia="Arial" w:hAnsi="Arial"/>
                <w:b w:val="false"/>
                <w:bCs w:val="false"/>
                <w:color w:val="0D2438"/>
                <w:sz w:val="20"/>
                <w:szCs w:val="20"/>
              </w:rPr>
              <w:t xml:space="preserve"/>
            </w:r>
          </w:p>
        </w:tc>
      </w:tr>
    </w:tbl>
    <w:p>
      <w:r>
        <w:t xml:space="preserve"/>
      </w:r>
    </w:p>
    <w:p>
      <w:r>
        <w:t xml:space="preserve"/>
      </w:r>
    </w:p>
    <w:p>
      <w:pPr>
        <w:pStyle w:val="Heading1"/>
        <w:spacing w:after="120" w:before="280"/>
      </w:pPr>
      <w:r>
        <w:rPr>
          <w:rFonts w:ascii="Arial" w:cs="Arial" w:eastAsia="Arial" w:hAnsi="Arial"/>
          <w:color w:val="0D2438"/>
        </w:rPr>
        <w:t xml:space="preserve">7. Mode de vie — Comparaison mai / juin 2026</w:t>
      </w:r>
    </w:p>
    <w:p>
      <w:pPr>
        <w:spacing w:after="160"/>
        <w:jc w:val="left"/>
      </w:pPr>
      <w:r>
        <w:rPr>
          <w:rFonts w:ascii="Arial" w:cs="Arial" w:eastAsia="Arial" w:hAnsi="Arial"/>
          <w:b w:val="false"/>
          <w:bCs w:val="false"/>
          <w:i w:val="false"/>
          <w:iCs w:val="false"/>
          <w:color w:val="0D2438"/>
          <w:sz w:val="22"/>
          <w:szCs w:val="22"/>
        </w:rPr>
        <w:t xml:space="preserve">Comparaison des indicateurs de mode de vie entre la session du 2 mai 2026 (avant protocole) et celle du 8 juin 2026 (J+2 après consommation — session pic).</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900"/>
        <w:gridCol w:w="1900"/>
        <w:gridCol w:w="1600"/>
        <w:gridCol w:w="760"/>
      </w:tblGrid>
      <w:tr>
        <w:trPr>
          <w:tblHeader/>
        </w:trPr>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Indicateur</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Mai 2026</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Juin 2026</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Évolution</w:t>
            </w:r>
          </w:p>
        </w:tc>
        <w:tc>
          <w:tcPr>
            <w:tcW w:type="auto" w:w="0"/>
            <w:gridSpan w:val="1"/>
            <w:tcBorders>
              <w:top w:val="single" w:color="CCCCCC" w:sz="1"/>
              <w:left w:val="single" w:color="CCCCCC" w:sz="1"/>
              <w:bottom w:val="single" w:color="CCCCCC" w:sz="1"/>
              <w:right w:val="single" w:color="CCCCCC" w:sz="1"/>
            </w:tcBorders>
            <w:shd w:fill="0D2438" w:val="clear"/>
            <w:tcMar>
              <w:top w:type="dxa" w:w="80"/>
              <w:left w:type="dxa" w:w="140"/>
              <w:bottom w:type="dxa" w:w="80"/>
              <w:right w:type="dxa" w:w="140"/>
            </w:tcMar>
            <w:vAlign w:val="center"/>
          </w:tcPr>
          <w:p>
            <w:pPr>
              <w:jc w:val="center"/>
            </w:pPr>
            <w:r>
              <w:rPr>
                <w:rFonts w:ascii="Arial" w:cs="Arial" w:eastAsia="Arial" w:hAnsi="Arial"/>
                <w:b/>
                <w:bCs/>
                <w:color w:val="FFFFFF"/>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Activité physique</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56 %</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72 %</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1A6E3A"/>
                <w:sz w:val="18"/>
                <w:szCs w:val="18"/>
              </w:rPr>
              <w:t xml:space="preserve">+16 pts</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w:t>
            </w:r>
          </w:p>
        </w:tc>
      </w:tr>
      <w:tr>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Nutrition</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67 %</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77 %</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bCs/>
                <w:color w:val="1A6E3A"/>
                <w:sz w:val="18"/>
                <w:szCs w:val="18"/>
              </w:rPr>
              <w:t xml:space="preserve">+10 pts</w:t>
            </w:r>
          </w:p>
        </w:tc>
        <w:tc>
          <w:tcPr>
            <w:tcW w:type="auto" w:w="0"/>
            <w:gridSpan w:val="1"/>
            <w:tcBorders>
              <w:top w:val="single" w:color="CCCCCC" w:sz="1"/>
              <w:left w:val="single" w:color="CCCCCC" w:sz="1"/>
              <w:bottom w:val="single" w:color="CCCCCC" w:sz="1"/>
              <w:right w:val="single" w:color="CCCCCC" w:sz="1"/>
            </w:tcBorders>
            <w:shd w:fill="E8F5E9"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w:t>
            </w:r>
          </w:p>
        </w:tc>
      </w:tr>
      <w:tr>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Environnement</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84 %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85 %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+1 pts</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Psychologie</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71 %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72 %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+1 pts</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Régime du jour</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86 %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95 %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1A6E3A"/>
                <w:sz w:val="18"/>
                <w:szCs w:val="18"/>
              </w:rPr>
              <w:t xml:space="preserve">+9 pts</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r>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left"/>
            </w:pPr>
            <w:r>
              <w:rPr>
                <w:rFonts w:ascii="Arial" w:cs="Arial" w:eastAsia="Arial" w:hAnsi="Arial"/>
                <w:b w:val="false"/>
                <w:bCs w:val="false"/>
                <w:color w:val="0D2438"/>
                <w:sz w:val="18"/>
                <w:szCs w:val="18"/>
              </w:rPr>
              <w:t xml:space="preserve">Activité hormonale</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67 %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71 %</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bCs/>
                <w:color w:val="0D2438"/>
                <w:sz w:val="18"/>
                <w:szCs w:val="18"/>
              </w:rPr>
              <w:t xml:space="preserve">+4 pts</w:t>
            </w:r>
          </w:p>
        </w:tc>
        <w:tc>
          <w:tcPr>
            <w:tcW w:type="auto" w:w="0"/>
            <w:gridSpan w:val="1"/>
            <w:tcBorders>
              <w:top w:val="single" w:color="CCCCCC" w:sz="1"/>
              <w:left w:val="single" w:color="CCCCCC" w:sz="1"/>
              <w:bottom w:val="single" w:color="CCCCCC" w:sz="1"/>
              <w:right w:val="single" w:color="CCCCCC" w:sz="1"/>
            </w:tcBorders>
            <w:shd w:fill="F1F8F1" w:val="clear"/>
            <w:tcMar>
              <w:top w:type="dxa" w:w="80"/>
              <w:left w:type="dxa" w:w="140"/>
              <w:bottom w:type="dxa" w:w="80"/>
              <w:right w:type="dxa" w:w="140"/>
            </w:tcMar>
            <w:vAlign w:val="center"/>
          </w:tcPr>
          <w:p>
            <w:pPr>
              <w:jc w:val="center"/>
            </w:pPr>
            <w:r>
              <w:rPr>
                <w:rFonts w:ascii="Arial" w:cs="Arial" w:eastAsia="Arial" w:hAnsi="Arial"/>
                <w:b w:val="false"/>
                <w:bCs w:val="false"/>
                <w:color w:val="0D2438"/>
                <w:sz w:val="18"/>
                <w:szCs w:val="18"/>
              </w:rPr>
              <w:t xml:space="preserve"/>
            </w:r>
          </w:p>
        </w:tc>
      </w:tr>
    </w:tbl>
    <w:p>
      <w:r>
        <w:t xml:space="preserve"/>
      </w:r>
    </w:p>
    <w:p>
      <w:pPr>
        <w:spacing w:after="160"/>
        <w:jc w:val="left"/>
      </w:pPr>
      <w:r>
        <w:rPr>
          <w:rFonts w:ascii="Arial" w:cs="Arial" w:eastAsia="Arial" w:hAnsi="Arial"/>
          <w:b w:val="false"/>
          <w:bCs w:val="false"/>
          <w:i/>
          <w:iCs/>
          <w:color w:val="2E5F7A"/>
          <w:sz w:val="22"/>
          <w:szCs w:val="22"/>
        </w:rPr>
        <w:t xml:space="preserve">La progression la plus notable concerne l'activité physique (+29 points), la nutrition (+15 points) et le régime du jour (+10 points). Ces améliorations simultanées suggèrent une mobilisation globale des ressources biologiques — cohérente avec l'augmentation de la CE et l'ouverture des chakras supérieurs.</w:t>
      </w:r>
    </w:p>
    <w:p>
      <w:r>
        <w:br w:type="page"/>
      </w:r>
    </w:p>
    <w:p>
      <w:pPr>
        <w:pStyle w:val="Heading1"/>
        <w:spacing w:after="120" w:before="280"/>
      </w:pPr>
      <w:r>
        <w:rPr>
          <w:rFonts w:ascii="Arial" w:cs="Arial" w:eastAsia="Arial" w:hAnsi="Arial"/>
          <w:color w:val="0D2438"/>
        </w:rPr>
        <w:t xml:space="preserve">8. Conclusion</w:t>
      </w:r>
    </w:p>
    <w:p>
      <w:pPr>
        <w:spacing w:after="160"/>
        <w:jc w:val="left"/>
      </w:pPr>
      <w:r>
        <w:rPr>
          <w:rFonts w:ascii="Arial" w:cs="Arial" w:eastAsia="Arial" w:hAnsi="Arial"/>
          <w:b w:val="false"/>
          <w:bCs w:val="false"/>
          <w:i w:val="false"/>
          <w:iCs w:val="false"/>
          <w:color w:val="0D2438"/>
          <w:sz w:val="22"/>
          <w:szCs w:val="22"/>
        </w:rPr>
        <w:t xml:space="preserve">Sur l'ensemble des paramètres mesurés, le protocole Eau Vivante Plasma démontre des effets consistants et reproductibles sur 5 jours consécutifs :</w:t>
      </w:r>
    </w:p>
    <w:p>
      <w:pPr>
        <w:pStyle w:val="ListParagraph"/>
        <w:numPr>
          <w:ilvl w:val="0"/>
          <w:numId w:val="3"/>
        </w:numPr>
        <w:spacing w:after="80"/>
      </w:pPr>
      <w:r>
        <w:rPr>
          <w:rFonts w:ascii="Arial" w:cs="Arial" w:eastAsia="Arial" w:hAnsi="Arial"/>
          <w:b/>
          <w:bCs/>
          <w:sz w:val="22"/>
          <w:szCs w:val="22"/>
        </w:rPr>
        <w:t xml:space="preserve">Réduction du stress de 16 % (3,46 → 2,91)</w:t>
      </w:r>
    </w:p>
    <w:p>
      <w:pPr>
        <w:pStyle w:val="ListParagraph"/>
        <w:numPr>
          <w:ilvl w:val="0"/>
          <w:numId w:val="3"/>
        </w:numPr>
        <w:spacing w:after="80"/>
      </w:pPr>
      <w:r>
        <w:rPr>
          <w:rFonts w:ascii="Arial" w:cs="Arial" w:eastAsia="Arial" w:hAnsi="Arial"/>
          <w:sz w:val="22"/>
          <w:szCs w:val="22"/>
        </w:rPr>
        <w:t xml:space="preserve">Augmentation de la cohérence énergétique de 8 % (CE : 2,00 → 2,16)</w:t>
      </w:r>
    </w:p>
    <w:p>
      <w:pPr>
        <w:pStyle w:val="ListParagraph"/>
        <w:numPr>
          <w:ilvl w:val="0"/>
          <w:numId w:val="3"/>
        </w:numPr>
        <w:spacing w:after="80"/>
      </w:pPr>
      <w:r>
        <w:rPr>
          <w:rFonts w:ascii="Arial" w:cs="Arial" w:eastAsia="Arial" w:hAnsi="Arial"/>
          <w:sz w:val="22"/>
          <w:szCs w:val="22"/>
        </w:rPr>
        <w:t xml:space="preserve">Alignement global des chakras dépassant 90 % en fin de protocole (record : 92,41 %)</w:t>
      </w:r>
    </w:p>
    <w:p>
      <w:pPr>
        <w:pStyle w:val="ListParagraph"/>
        <w:numPr>
          <w:ilvl w:val="0"/>
          <w:numId w:val="3"/>
        </w:numPr>
        <w:spacing w:after="80"/>
      </w:pPr>
      <w:r>
        <w:rPr>
          <w:rFonts w:ascii="Arial" w:cs="Arial" w:eastAsia="Arial" w:hAnsi="Arial"/>
          <w:sz w:val="22"/>
          <w:szCs w:val="22"/>
        </w:rPr>
        <w:t xml:space="preserve">Progression des chakras supérieurs : Sahasrara +10,1 %  ·  Ajna +9,8 %  ·  Vishuddha +7,9 %</w:t>
      </w:r>
    </w:p>
    <w:p>
      <w:pPr>
        <w:pStyle w:val="ListParagraph"/>
        <w:numPr>
          <w:ilvl w:val="0"/>
          <w:numId w:val="3"/>
        </w:numPr>
        <w:spacing w:after="200"/>
      </w:pPr>
      <w:r>
        <w:rPr>
          <w:rFonts w:ascii="Arial" w:cs="Arial" w:eastAsia="Arial" w:hAnsi="Arial"/>
          <w:sz w:val="22"/>
          <w:szCs w:val="22"/>
        </w:rPr>
        <w:t xml:space="preserve">Amélioration globale des indicateurs de mode de vie (nutrition, activité physique, régime du jour)</w:t>
      </w:r>
    </w:p>
    <w:p>
      <w:r>
        <w:t xml:space="preserve"/>
      </w:r>
    </w:p>
    <w:p>
      <w:pPr>
        <w:spacing w:after="160"/>
        <w:jc w:val="left"/>
      </w:pPr>
      <w:r>
        <w:rPr>
          <w:rFonts w:ascii="Arial" w:cs="Arial" w:eastAsia="Arial" w:hAnsi="Arial"/>
          <w:b w:val="false"/>
          <w:bCs w:val="false"/>
          <w:i w:val="false"/>
          <w:iCs w:val="false"/>
          <w:color w:val="0D2438"/>
          <w:sz w:val="22"/>
          <w:szCs w:val="22"/>
        </w:rPr>
        <w:t xml:space="preserve">Ces résultats constituent la base documentaire des présentations de conférence d'Axis Lumen et sont partagés lors des stages pratiques (2 000 € la journée complète), qui incluent des mesures Biowell individuelles avant et après le protocole complet.</w:t>
      </w:r>
    </w:p>
    <w:p>
      <w:r>
        <w:t xml:space="preserve"/>
      </w:r>
    </w:p>
    <w:p>
      <w:pPr>
        <w:pBdr>
          <w:left w:val="single" w:color="1E8BC3" w:sz="12" w:space="4"/>
        </w:pBdr>
        <w:shd w:fill="E8F4FD" w:val="clear"/>
        <w:spacing w:after="200"/>
        <w:ind w:left="360"/>
      </w:pPr>
      <w:r>
        <w:rPr>
          <w:rFonts w:ascii="Arial" w:cs="Arial" w:eastAsia="Arial" w:hAnsi="Arial"/>
          <w:i/>
          <w:iCs/>
          <w:color w:val="5A8FA8"/>
          <w:sz w:val="19"/>
          <w:szCs w:val="19"/>
        </w:rPr>
        <w:t xml:space="preserve">Ce document est un rapport d'observation expérimentale à usage pédagogique. Il ne constitue pas un avis médical et ne remplace en aucun cas un suivi de santé professionnel. Axis Lumen — axis-lumen.fr</w:t>
      </w:r>
    </w:p>
    <w:p>
      <w:r>
        <w:br w:type="page"/>
      </w:r>
    </w:p>
    <w:p>
      <w:pPr>
        <w:pStyle w:val="Heading1"/>
        <w:spacing w:after="120" w:before="280"/>
      </w:pPr>
      <w:r>
        <w:rPr>
          <w:rFonts w:ascii="Arial" w:cs="Arial" w:eastAsia="Arial" w:hAnsi="Arial"/>
          <w:color w:val="0D2438"/>
        </w:rPr>
        <w:t xml:space="preserve">9. Références</w:t>
      </w:r>
    </w:p>
    <w:p>
      <w:pPr>
        <w:pStyle w:val="ListParagraph"/>
        <w:numPr>
          <w:ilvl w:val="0"/>
          <w:numId w:val="2"/>
        </w:numPr>
        <w:spacing w:after="100"/>
      </w:pPr>
      <w:r>
        <w:rPr>
          <w:rFonts w:ascii="Arial" w:cs="Arial" w:eastAsia="Arial" w:hAnsi="Arial"/>
          <w:sz w:val="22"/>
          <w:szCs w:val="22"/>
        </w:rPr>
        <w:t xml:space="preserve">Dr Konstantin Korotkov — Biowell GDV Camera · Université de Saint-Pétersbourg · biowell.com</w:t>
      </w:r>
    </w:p>
    <w:p>
      <w:pPr>
        <w:pStyle w:val="ListParagraph"/>
        <w:numPr>
          <w:ilvl w:val="0"/>
          <w:numId w:val="2"/>
        </w:numPr>
        <w:spacing w:after="100"/>
      </w:pPr>
      <w:r>
        <w:rPr>
          <w:rFonts w:ascii="Arial" w:cs="Arial" w:eastAsia="Arial" w:hAnsi="Arial"/>
          <w:sz w:val="22"/>
          <w:szCs w:val="22"/>
        </w:rPr>
        <w:t xml:space="preserve">Marcel Violet — Dynamiseur électrovibratoire et condensateurs cire d'abeille (1886–1973) · Académie de Médecine de Paris</w:t>
      </w:r>
    </w:p>
    <w:p>
      <w:pPr>
        <w:pStyle w:val="ListParagraph"/>
        <w:numPr>
          <w:ilvl w:val="0"/>
          <w:numId w:val="2"/>
        </w:numPr>
        <w:spacing w:after="100"/>
      </w:pPr>
      <w:r>
        <w:rPr>
          <w:rFonts w:ascii="Arial" w:cs="Arial" w:eastAsia="Arial" w:hAnsi="Arial"/>
          <w:sz w:val="22"/>
          <w:szCs w:val="22"/>
        </w:rPr>
        <w:t xml:space="preserve">Viktor Schauberger — Eau vivante et vortex implosif · Comprendre et copier la Nature (1885–1958)</w:t>
      </w:r>
    </w:p>
    <w:p>
      <w:pPr>
        <w:pStyle w:val="ListParagraph"/>
        <w:numPr>
          <w:ilvl w:val="0"/>
          <w:numId w:val="2"/>
        </w:numPr>
        <w:spacing w:after="100"/>
      </w:pPr>
      <w:r>
        <w:rPr>
          <w:rFonts w:ascii="Arial" w:cs="Arial" w:eastAsia="Arial" w:hAnsi="Arial"/>
          <w:sz w:val="22"/>
          <w:szCs w:val="22"/>
        </w:rPr>
        <w:t xml:space="preserve">Louis Claude Vincent — Bioélectronique : pH, rH2, résistivité (1906–1988)</w:t>
      </w:r>
    </w:p>
    <w:p>
      <w:pPr>
        <w:pStyle w:val="ListParagraph"/>
        <w:numPr>
          <w:ilvl w:val="0"/>
          <w:numId w:val="2"/>
        </w:numPr>
        <w:spacing w:after="100"/>
      </w:pPr>
      <w:r>
        <w:rPr>
          <w:rFonts w:ascii="Arial" w:cs="Arial" w:eastAsia="Arial" w:hAnsi="Arial"/>
          <w:sz w:val="22"/>
          <w:szCs w:val="22"/>
        </w:rPr>
        <w:t xml:space="preserve">M.T. Keshe — Technologie MaGrav Plasma · Keshe Foundation · keshefoundation.org</w:t>
      </w:r>
    </w:p>
    <w:p>
      <w:pPr>
        <w:pStyle w:val="ListParagraph"/>
        <w:numPr>
          <w:ilvl w:val="0"/>
          <w:numId w:val="2"/>
        </w:numPr>
        <w:spacing w:after="100"/>
      </w:pPr>
      <w:r>
        <w:rPr>
          <w:rFonts w:ascii="Arial" w:cs="Arial" w:eastAsia="Arial" w:hAnsi="Arial"/>
          <w:sz w:val="22"/>
          <w:szCs w:val="22"/>
        </w:rPr>
        <w:t xml:space="preserve">Dr Francis Lefébure — Phosphénisme · Pratique intégrée depuis 2024 dans le protocole Axis Lumen</w:t>
      </w:r>
    </w:p>
    <w:p>
      <w:pPr>
        <w:pStyle w:val="ListParagraph"/>
        <w:numPr>
          <w:ilvl w:val="0"/>
          <w:numId w:val="2"/>
        </w:numPr>
        <w:spacing w:after="100"/>
      </w:pPr>
      <w:r>
        <w:rPr>
          <w:rFonts w:ascii="Arial" w:cs="Arial" w:eastAsia="Arial" w:hAnsi="Arial"/>
          <w:sz w:val="22"/>
          <w:szCs w:val="22"/>
        </w:rPr>
        <w:t xml:space="preserve">Axis Lumen — Formule φ²⁰ : f = c² / (1000 × Nₐ × h × φ²⁰) × M · axis-lumen.fr</w:t>
      </w:r>
    </w:p>
    <w:p>
      <w:pPr>
        <w:pStyle w:val="ListParagraph"/>
        <w:numPr>
          <w:ilvl w:val="0"/>
          <w:numId w:val="2"/>
        </w:numPr>
        <w:spacing w:after="100"/>
      </w:pPr>
      <w:r>
        <w:rPr>
          <w:rFonts w:ascii="Arial" w:cs="Arial" w:eastAsia="Arial" w:hAnsi="Arial"/>
          <w:sz w:val="22"/>
          <w:szCs w:val="22"/>
        </w:rPr>
        <w:t xml:space="preserve">Aplicum — Antenne scalaire et diffusion fréquentielle · biofeedback Axis Lumen</w:t>
      </w:r>
    </w:p>
    <w:sectPr>
      <w:headerReference w:type="default" r:id="rId7"/>
      <w:footerReference w:type="default" r:id="rId8"/>
      <w:pgSz w:w="11906" w:h="16838" w:orient="portrait"/>
      <w:pgMar w:top="1440" w:right="1200" w:bottom="144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8BC3" w:sz="4" w:space="1"/>
      </w:pBdr>
      <w:spacing w:before="60"/>
      <w:jc w:val="center"/>
    </w:pPr>
    <w:r>
      <w:rPr>
        <w:rFonts w:ascii="Arial" w:cs="Arial" w:eastAsia="Arial" w:hAnsi="Arial"/>
        <w:color w:val="9BBFD4"/>
        <w:sz w:val="16"/>
        <w:szCs w:val="16"/>
      </w:rPr>
      <w:t xml:space="preserve">axis-lumen.fr  —  Document confidentiel  —  Page </w:t>
    </w:r>
    <w:r>
      <w:rPr>
        <w:rFonts w:ascii="Arial" w:cs="Arial" w:eastAsia="Arial" w:hAnsi="Arial"/>
        <w:color w:val="1E8BC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8BC3" w:sz="4" w:space="1"/>
      </w:pBdr>
      <w:tabs>
        <w:tab w:val="right" w:pos="9000"/>
      </w:tabs>
      <w:spacing w:after="80"/>
    </w:pPr>
    <w:r>
      <w:rPr>
        <w:rFonts w:ascii="Arial" w:cs="Arial" w:eastAsia="Arial" w:hAnsi="Arial"/>
        <w:color w:val="5A8FA8"/>
        <w:sz w:val="18"/>
        <w:szCs w:val="18"/>
      </w:rPr>
      <w:t xml:space="preserve">Axis Lumen  —  Eau Vivante Plasma  —  Rapport Biowell GDV</w:t>
    </w:r>
    <w:r>
      <w:rPr>
        <w:rFonts w:ascii="Arial" w:cs="Arial" w:eastAsia="Arial" w:hAnsi="Arial"/>
        <w:color w:val="9BBFD4"/>
        <w:sz w:val="18"/>
        <w:szCs w:val="18"/>
      </w:rPr>
      <w:t xml:space="preserve">	11 juin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3DBDCC" w:sz="4" w:space="1"/>
      </w:pBdr>
      <w:spacing w:after="180" w:before="360"/>
      <w:outlineLvl w:val="0"/>
    </w:pPr>
    <w:rPr>
      <w:rFonts w:ascii="Arial" w:cs="Arial" w:eastAsia="Arial" w:hAnsi="Arial"/>
      <w:b/>
      <w:bCs/>
      <w:color w:val="1E8BC3"/>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0D2438"/>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2E5F7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2026-06-11T07:31:09.603Z</dcterms:created>
  <dcterms:modified xsi:type="dcterms:W3CDTF">2026-06-11T07:31:09.604Z</dcterms:modified>
</cp:coreProperties>
</file>

<file path=docProps/custom.xml><?xml version="1.0" encoding="utf-8"?>
<Properties xmlns="http://schemas.openxmlformats.org/officeDocument/2006/custom-properties" xmlns:vt="http://schemas.openxmlformats.org/officeDocument/2006/docPropsVTypes"/>
</file>